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7CE" w:rsidRDefault="006C47CE" w:rsidP="00B85A5C">
      <w:pPr>
        <w:rPr>
          <w:rFonts w:ascii="Arial" w:hAnsi="Arial" w:cs="Arial"/>
          <w:color w:val="000000"/>
        </w:rPr>
      </w:pPr>
      <w:bookmarkStart w:id="0" w:name="_GoBack"/>
      <w:bookmarkEnd w:id="0"/>
      <w:r>
        <w:rPr>
          <w:noProof/>
          <w:lang w:val="en-US"/>
        </w:rPr>
        <w:drawing>
          <wp:inline distT="0" distB="0" distL="0" distR="0" wp14:anchorId="3D66E4CB" wp14:editId="2F64128B">
            <wp:extent cx="6645910" cy="929005"/>
            <wp:effectExtent l="0" t="0" r="0" b="0"/>
            <wp:docPr id="1" name="Picture 1" descr="Description: 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S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5910" cy="929005"/>
                    </a:xfrm>
                    <a:prstGeom prst="rect">
                      <a:avLst/>
                    </a:prstGeom>
                    <a:noFill/>
                    <a:ln>
                      <a:noFill/>
                    </a:ln>
                  </pic:spPr>
                </pic:pic>
              </a:graphicData>
            </a:graphic>
          </wp:inline>
        </w:drawing>
      </w:r>
    </w:p>
    <w:p w:rsidR="006C47CE" w:rsidRDefault="006C47CE" w:rsidP="00B85A5C">
      <w:pPr>
        <w:rPr>
          <w:rFonts w:ascii="Arial" w:hAnsi="Arial" w:cs="Arial"/>
          <w:color w:val="000000"/>
        </w:rPr>
      </w:pPr>
    </w:p>
    <w:p w:rsidR="006C47CE" w:rsidRDefault="006C47CE" w:rsidP="00B85A5C">
      <w:pPr>
        <w:rPr>
          <w:rFonts w:ascii="Arial" w:hAnsi="Arial" w:cs="Arial"/>
          <w:color w:val="000000"/>
        </w:rPr>
      </w:pPr>
    </w:p>
    <w:p w:rsidR="006C47CE" w:rsidRDefault="006C47CE" w:rsidP="00B85A5C">
      <w:pPr>
        <w:rPr>
          <w:rFonts w:ascii="Arial" w:hAnsi="Arial" w:cs="Arial"/>
          <w:color w:val="000000"/>
        </w:rPr>
      </w:pPr>
    </w:p>
    <w:p w:rsidR="00B85A5C" w:rsidRDefault="00B85A5C" w:rsidP="00B85A5C">
      <w:pPr>
        <w:rPr>
          <w:rFonts w:ascii="Arial" w:hAnsi="Arial" w:cs="Arial"/>
          <w:color w:val="000000"/>
        </w:rPr>
      </w:pPr>
      <w:r>
        <w:rPr>
          <w:rFonts w:ascii="Arial" w:hAnsi="Arial" w:cs="Arial"/>
          <w:color w:val="000000"/>
        </w:rPr>
        <w:t xml:space="preserve">October </w:t>
      </w:r>
      <w:r w:rsidR="00A10331">
        <w:rPr>
          <w:rFonts w:ascii="Arial" w:hAnsi="Arial" w:cs="Arial"/>
          <w:color w:val="000000"/>
        </w:rPr>
        <w:t>15</w:t>
      </w:r>
      <w:r>
        <w:rPr>
          <w:rFonts w:ascii="Arial" w:hAnsi="Arial" w:cs="Arial"/>
          <w:color w:val="000000"/>
        </w:rPr>
        <w:t>, 2011</w:t>
      </w:r>
    </w:p>
    <w:p w:rsidR="00B85A5C" w:rsidRDefault="00B85A5C" w:rsidP="00B85A5C">
      <w:pPr>
        <w:rPr>
          <w:rFonts w:ascii="Arial" w:hAnsi="Arial" w:cs="Arial"/>
          <w:color w:val="000000"/>
        </w:rPr>
      </w:pP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British Columbia Securities Commission</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Alberta Securities Commission</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Saskatchewan Financial Services Commission</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Manitoba Securities Commission</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Ontario Securities Commission</w:t>
      </w:r>
    </w:p>
    <w:p w:rsidR="0050248F" w:rsidRPr="0050248F" w:rsidRDefault="0050248F" w:rsidP="0050248F">
      <w:pPr>
        <w:autoSpaceDE w:val="0"/>
        <w:autoSpaceDN w:val="0"/>
        <w:adjustRightInd w:val="0"/>
        <w:rPr>
          <w:rFonts w:ascii="Arial" w:eastAsia="Times New Roman" w:hAnsi="Arial" w:cs="Arial"/>
          <w:color w:val="000000"/>
        </w:rPr>
      </w:pPr>
      <w:proofErr w:type="spellStart"/>
      <w:r w:rsidRPr="0050248F">
        <w:rPr>
          <w:rFonts w:ascii="Arial" w:eastAsia="Times New Roman" w:hAnsi="Arial" w:cs="Arial"/>
          <w:color w:val="000000"/>
        </w:rPr>
        <w:t>Autorité</w:t>
      </w:r>
      <w:proofErr w:type="spellEnd"/>
      <w:r w:rsidRPr="0050248F">
        <w:rPr>
          <w:rFonts w:ascii="Arial" w:eastAsia="Times New Roman" w:hAnsi="Arial" w:cs="Arial"/>
          <w:color w:val="000000"/>
        </w:rPr>
        <w:t xml:space="preserve"> des </w:t>
      </w:r>
      <w:proofErr w:type="spellStart"/>
      <w:r w:rsidRPr="0050248F">
        <w:rPr>
          <w:rFonts w:ascii="Arial" w:eastAsia="Times New Roman" w:hAnsi="Arial" w:cs="Arial"/>
          <w:color w:val="000000"/>
        </w:rPr>
        <w:t>marchés</w:t>
      </w:r>
      <w:proofErr w:type="spellEnd"/>
      <w:r w:rsidRPr="0050248F">
        <w:rPr>
          <w:rFonts w:ascii="Arial" w:eastAsia="Times New Roman" w:hAnsi="Arial" w:cs="Arial"/>
          <w:color w:val="000000"/>
        </w:rPr>
        <w:t xml:space="preserve"> financiers</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Superintendent of Securities, Prince Edward Island</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Nova Scotia Securities Commission</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New Brunswick Securities Commission</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Securities Commission of Newfoundland and Labrador</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Superintendent of Securities, Yukon Territory</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Superintendent of Securities, Northwest Territories</w:t>
      </w:r>
    </w:p>
    <w:p w:rsidR="0050248F" w:rsidRPr="0050248F" w:rsidRDefault="0050248F" w:rsidP="0050248F">
      <w:pPr>
        <w:autoSpaceDE w:val="0"/>
        <w:autoSpaceDN w:val="0"/>
        <w:adjustRightInd w:val="0"/>
        <w:rPr>
          <w:rFonts w:ascii="Arial" w:eastAsia="Times New Roman" w:hAnsi="Arial" w:cs="Arial"/>
          <w:color w:val="000000"/>
        </w:rPr>
      </w:pPr>
      <w:r w:rsidRPr="0050248F">
        <w:rPr>
          <w:rFonts w:ascii="Arial" w:eastAsia="Times New Roman" w:hAnsi="Arial" w:cs="Arial"/>
          <w:color w:val="000000"/>
        </w:rPr>
        <w:t>Superintendent of Securities, Nunavut</w:t>
      </w:r>
    </w:p>
    <w:p w:rsidR="0050248F" w:rsidRDefault="0050248F" w:rsidP="0050248F">
      <w:pPr>
        <w:rPr>
          <w:rFonts w:ascii="Arial" w:hAnsi="Arial" w:cs="Arial"/>
          <w:color w:val="000000"/>
        </w:rPr>
      </w:pPr>
    </w:p>
    <w:p w:rsidR="0050248F" w:rsidRDefault="0050248F" w:rsidP="0050248F">
      <w:pPr>
        <w:rPr>
          <w:rFonts w:ascii="Arial" w:hAnsi="Arial" w:cs="Arial"/>
          <w:color w:val="000000"/>
        </w:rPr>
      </w:pPr>
    </w:p>
    <w:p w:rsidR="00784B0A" w:rsidRPr="00784B0A" w:rsidRDefault="0050248F" w:rsidP="0050248F">
      <w:pPr>
        <w:rPr>
          <w:rFonts w:ascii="Arial" w:hAnsi="Arial" w:cs="Arial"/>
          <w:bCs/>
          <w:color w:val="000000"/>
          <w:sz w:val="24"/>
          <w:szCs w:val="24"/>
          <w:lang w:val="en-US" w:eastAsia="en-GB"/>
        </w:rPr>
      </w:pPr>
      <w:r>
        <w:rPr>
          <w:rFonts w:ascii="Arial" w:hAnsi="Arial" w:cs="Arial"/>
          <w:bCs/>
          <w:color w:val="000000"/>
          <w:sz w:val="24"/>
          <w:szCs w:val="24"/>
          <w:lang w:val="en-US" w:eastAsia="en-GB"/>
        </w:rPr>
        <w:t xml:space="preserve">Attention: </w:t>
      </w:r>
      <w:r w:rsidR="00784B0A" w:rsidRPr="00784B0A">
        <w:rPr>
          <w:rFonts w:ascii="Arial" w:hAnsi="Arial" w:cs="Arial"/>
          <w:bCs/>
          <w:color w:val="000000"/>
          <w:sz w:val="24"/>
          <w:szCs w:val="24"/>
          <w:lang w:val="en-US" w:eastAsia="en-GB"/>
        </w:rPr>
        <w:t>M</w:t>
      </w:r>
      <w:r w:rsidR="001F6CB4">
        <w:rPr>
          <w:rFonts w:ascii="Arial" w:hAnsi="Arial" w:cs="Arial"/>
          <w:bCs/>
          <w:color w:val="000000"/>
          <w:sz w:val="24"/>
          <w:szCs w:val="24"/>
          <w:lang w:val="en-US" w:eastAsia="en-GB"/>
        </w:rPr>
        <w:t>s</w:t>
      </w:r>
      <w:r w:rsidR="00784B0A" w:rsidRPr="00784B0A">
        <w:rPr>
          <w:rFonts w:ascii="Arial" w:hAnsi="Arial" w:cs="Arial"/>
          <w:bCs/>
          <w:color w:val="000000"/>
          <w:sz w:val="24"/>
          <w:szCs w:val="24"/>
          <w:lang w:val="en-US" w:eastAsia="en-GB"/>
        </w:rPr>
        <w:t>. Alex Poole</w:t>
      </w:r>
    </w:p>
    <w:p w:rsidR="00784B0A" w:rsidRPr="00784B0A" w:rsidRDefault="00784B0A" w:rsidP="00784B0A">
      <w:pPr>
        <w:autoSpaceDE w:val="0"/>
        <w:autoSpaceDN w:val="0"/>
        <w:adjustRightInd w:val="0"/>
        <w:rPr>
          <w:rFonts w:ascii="Arial" w:hAnsi="Arial" w:cs="Arial"/>
          <w:bCs/>
          <w:color w:val="000000"/>
          <w:sz w:val="24"/>
          <w:szCs w:val="24"/>
          <w:lang w:val="en-US" w:eastAsia="en-GB"/>
        </w:rPr>
      </w:pPr>
      <w:r w:rsidRPr="00784B0A">
        <w:rPr>
          <w:rFonts w:ascii="Arial" w:hAnsi="Arial" w:cs="Arial"/>
          <w:bCs/>
          <w:color w:val="000000"/>
          <w:sz w:val="24"/>
          <w:szCs w:val="24"/>
          <w:lang w:val="en-US" w:eastAsia="en-GB"/>
        </w:rPr>
        <w:t>Senior Legal Counsel, Corporate Finance</w:t>
      </w:r>
    </w:p>
    <w:p w:rsidR="00784B0A" w:rsidRPr="00784B0A" w:rsidRDefault="00784B0A" w:rsidP="00784B0A">
      <w:pPr>
        <w:autoSpaceDE w:val="0"/>
        <w:autoSpaceDN w:val="0"/>
        <w:adjustRightInd w:val="0"/>
        <w:rPr>
          <w:rFonts w:ascii="Arial" w:hAnsi="Arial" w:cs="Arial"/>
          <w:color w:val="000000"/>
          <w:sz w:val="24"/>
          <w:szCs w:val="24"/>
          <w:lang w:val="en-US" w:eastAsia="en-GB"/>
        </w:rPr>
      </w:pPr>
      <w:r w:rsidRPr="00784B0A">
        <w:rPr>
          <w:rFonts w:ascii="Arial" w:hAnsi="Arial" w:cs="Arial"/>
          <w:color w:val="000000"/>
          <w:sz w:val="24"/>
          <w:szCs w:val="24"/>
          <w:lang w:val="en-US" w:eastAsia="en-GB"/>
        </w:rPr>
        <w:t>Alberta Securities Commission</w:t>
      </w:r>
    </w:p>
    <w:p w:rsidR="00784B0A" w:rsidRPr="00784B0A" w:rsidRDefault="00784B0A" w:rsidP="00784B0A">
      <w:pPr>
        <w:autoSpaceDE w:val="0"/>
        <w:autoSpaceDN w:val="0"/>
        <w:adjustRightInd w:val="0"/>
        <w:rPr>
          <w:rFonts w:ascii="Arial" w:hAnsi="Arial" w:cs="Arial"/>
          <w:color w:val="000000"/>
          <w:sz w:val="24"/>
          <w:szCs w:val="24"/>
          <w:lang w:val="en-US" w:eastAsia="en-GB"/>
        </w:rPr>
      </w:pPr>
      <w:r w:rsidRPr="00784B0A">
        <w:rPr>
          <w:rFonts w:ascii="Arial" w:hAnsi="Arial" w:cs="Arial"/>
          <w:color w:val="000000"/>
          <w:sz w:val="24"/>
          <w:szCs w:val="24"/>
          <w:lang w:val="en-US" w:eastAsia="en-GB"/>
        </w:rPr>
        <w:t>Suite 600, 250-5</w:t>
      </w:r>
      <w:r w:rsidRPr="00784B0A">
        <w:rPr>
          <w:rFonts w:ascii="Arial" w:hAnsi="Arial" w:cs="Arial"/>
          <w:color w:val="000000"/>
          <w:sz w:val="16"/>
          <w:szCs w:val="16"/>
          <w:lang w:val="en-US" w:eastAsia="en-GB"/>
        </w:rPr>
        <w:t xml:space="preserve">th </w:t>
      </w:r>
      <w:r w:rsidRPr="00784B0A">
        <w:rPr>
          <w:rFonts w:ascii="Arial" w:hAnsi="Arial" w:cs="Arial"/>
          <w:color w:val="000000"/>
          <w:sz w:val="24"/>
          <w:szCs w:val="24"/>
          <w:lang w:val="en-US" w:eastAsia="en-GB"/>
        </w:rPr>
        <w:t>Street SW</w:t>
      </w:r>
    </w:p>
    <w:p w:rsidR="00784B0A" w:rsidRPr="00784B0A" w:rsidRDefault="00784B0A" w:rsidP="00784B0A">
      <w:pPr>
        <w:autoSpaceDE w:val="0"/>
        <w:autoSpaceDN w:val="0"/>
        <w:adjustRightInd w:val="0"/>
        <w:rPr>
          <w:rFonts w:ascii="Arial" w:hAnsi="Arial" w:cs="Arial"/>
          <w:color w:val="000000"/>
          <w:sz w:val="24"/>
          <w:szCs w:val="24"/>
          <w:lang w:val="en-US" w:eastAsia="en-GB"/>
        </w:rPr>
      </w:pPr>
      <w:r w:rsidRPr="00784B0A">
        <w:rPr>
          <w:rFonts w:ascii="Arial" w:hAnsi="Arial" w:cs="Arial"/>
          <w:color w:val="000000"/>
          <w:sz w:val="24"/>
          <w:szCs w:val="24"/>
          <w:lang w:val="en-US" w:eastAsia="en-GB"/>
        </w:rPr>
        <w:t>Calgary, Alberta T2P 0R4</w:t>
      </w:r>
    </w:p>
    <w:p w:rsidR="00784B0A" w:rsidRPr="00784B0A" w:rsidRDefault="00784B0A" w:rsidP="00784B0A">
      <w:pPr>
        <w:autoSpaceDE w:val="0"/>
        <w:autoSpaceDN w:val="0"/>
        <w:adjustRightInd w:val="0"/>
        <w:rPr>
          <w:rFonts w:ascii="Arial" w:hAnsi="Arial" w:cs="Arial"/>
          <w:color w:val="000000"/>
          <w:sz w:val="24"/>
          <w:szCs w:val="24"/>
          <w:lang w:val="en-US" w:eastAsia="en-GB"/>
        </w:rPr>
      </w:pPr>
      <w:r w:rsidRPr="00784B0A">
        <w:rPr>
          <w:rFonts w:ascii="Arial" w:hAnsi="Arial" w:cs="Arial"/>
          <w:color w:val="000000"/>
          <w:sz w:val="24"/>
          <w:szCs w:val="24"/>
          <w:lang w:val="en-US" w:eastAsia="en-GB"/>
        </w:rPr>
        <w:t>Fax: (403) 297-4482</w:t>
      </w:r>
    </w:p>
    <w:p w:rsidR="00B85A5C" w:rsidRPr="00784B0A" w:rsidRDefault="00784B0A" w:rsidP="00784B0A">
      <w:pPr>
        <w:rPr>
          <w:rFonts w:ascii="Arial" w:hAnsi="Arial" w:cs="Arial"/>
          <w:color w:val="000000"/>
        </w:rPr>
      </w:pPr>
      <w:r w:rsidRPr="00784B0A">
        <w:rPr>
          <w:rFonts w:ascii="Arial" w:hAnsi="Arial" w:cs="Arial"/>
          <w:color w:val="000000"/>
          <w:sz w:val="24"/>
          <w:szCs w:val="24"/>
          <w:lang w:val="en-US" w:eastAsia="en-GB"/>
        </w:rPr>
        <w:t xml:space="preserve">Email: </w:t>
      </w:r>
      <w:r w:rsidRPr="00784B0A">
        <w:rPr>
          <w:rFonts w:ascii="Arial" w:hAnsi="Arial" w:cs="Arial"/>
          <w:color w:val="0000FF"/>
          <w:sz w:val="24"/>
          <w:szCs w:val="24"/>
          <w:lang w:val="en-US" w:eastAsia="en-GB"/>
        </w:rPr>
        <w:t>alex.poole@asc.ca</w:t>
      </w:r>
    </w:p>
    <w:p w:rsidR="00B85A5C" w:rsidRDefault="00B85A5C" w:rsidP="00B85A5C">
      <w:pPr>
        <w:rPr>
          <w:rFonts w:ascii="Arial" w:hAnsi="Arial" w:cs="Arial"/>
          <w:color w:val="000000"/>
        </w:rPr>
      </w:pPr>
    </w:p>
    <w:p w:rsidR="00B85A5C" w:rsidRDefault="00B85A5C" w:rsidP="00B85A5C">
      <w:pPr>
        <w:rPr>
          <w:rFonts w:ascii="Arial" w:hAnsi="Arial" w:cs="Arial"/>
          <w:color w:val="000000"/>
        </w:rPr>
      </w:pPr>
    </w:p>
    <w:p w:rsidR="00B85A5C" w:rsidRDefault="00B85A5C" w:rsidP="00B85A5C">
      <w:pPr>
        <w:rPr>
          <w:rFonts w:ascii="Arial" w:hAnsi="Arial" w:cs="Arial"/>
          <w:color w:val="000000"/>
        </w:rPr>
      </w:pPr>
      <w:r>
        <w:rPr>
          <w:rFonts w:ascii="Arial" w:hAnsi="Arial" w:cs="Arial"/>
          <w:color w:val="000000"/>
        </w:rPr>
        <w:t>Dear M</w:t>
      </w:r>
      <w:r w:rsidR="0050248F">
        <w:rPr>
          <w:rFonts w:ascii="Arial" w:hAnsi="Arial" w:cs="Arial"/>
          <w:color w:val="000000"/>
        </w:rPr>
        <w:t>s.</w:t>
      </w:r>
      <w:r>
        <w:rPr>
          <w:rFonts w:ascii="Arial" w:hAnsi="Arial" w:cs="Arial"/>
          <w:color w:val="000000"/>
        </w:rPr>
        <w:t xml:space="preserve"> Poole</w:t>
      </w:r>
      <w:r w:rsidR="00A4127D">
        <w:rPr>
          <w:rFonts w:ascii="Arial" w:hAnsi="Arial" w:cs="Arial"/>
          <w:color w:val="000000"/>
        </w:rPr>
        <w:t>:</w:t>
      </w:r>
    </w:p>
    <w:p w:rsidR="00B85A5C" w:rsidRDefault="00B85A5C" w:rsidP="00B85A5C">
      <w:pPr>
        <w:rPr>
          <w:rFonts w:ascii="Arial" w:hAnsi="Arial" w:cs="Arial"/>
          <w:color w:val="000000"/>
        </w:rPr>
      </w:pPr>
    </w:p>
    <w:p w:rsidR="00B85A5C" w:rsidRDefault="00B85A5C" w:rsidP="00B85A5C">
      <w:pPr>
        <w:ind w:left="720"/>
        <w:rPr>
          <w:rFonts w:ascii="Arial" w:hAnsi="Arial" w:cs="Arial"/>
          <w:b/>
          <w:color w:val="000000"/>
        </w:rPr>
      </w:pPr>
      <w:r>
        <w:rPr>
          <w:rFonts w:ascii="Arial" w:hAnsi="Arial" w:cs="Arial"/>
          <w:b/>
          <w:color w:val="000000"/>
        </w:rPr>
        <w:t>Re: Request for Comments</w:t>
      </w:r>
      <w:r>
        <w:rPr>
          <w:rFonts w:ascii="Arial" w:hAnsi="Arial" w:cs="Arial"/>
          <w:color w:val="000000"/>
        </w:rPr>
        <w:t xml:space="preserve"> </w:t>
      </w:r>
      <w:r>
        <w:rPr>
          <w:rFonts w:ascii="Arial" w:hAnsi="Arial" w:cs="Arial"/>
          <w:b/>
          <w:color w:val="000000"/>
        </w:rPr>
        <w:t>– Proposed Amendments to NI 4</w:t>
      </w:r>
      <w:r w:rsidR="00D87BE7">
        <w:rPr>
          <w:rFonts w:ascii="Arial" w:hAnsi="Arial" w:cs="Arial"/>
          <w:b/>
          <w:color w:val="000000"/>
        </w:rPr>
        <w:t>1</w:t>
      </w:r>
      <w:r>
        <w:rPr>
          <w:rFonts w:ascii="Arial" w:hAnsi="Arial" w:cs="Arial"/>
          <w:b/>
          <w:color w:val="000000"/>
        </w:rPr>
        <w:t>-</w:t>
      </w:r>
      <w:r w:rsidR="00FD3ADD">
        <w:rPr>
          <w:rFonts w:ascii="Arial" w:hAnsi="Arial" w:cs="Arial"/>
          <w:b/>
          <w:color w:val="000000"/>
        </w:rPr>
        <w:t>101</w:t>
      </w:r>
    </w:p>
    <w:p w:rsidR="00B85A5C" w:rsidRDefault="00B85A5C" w:rsidP="00B85A5C">
      <w:pPr>
        <w:ind w:left="720"/>
        <w:rPr>
          <w:rFonts w:ascii="Arial" w:hAnsi="Arial" w:cs="Arial"/>
          <w:b/>
          <w:color w:val="000000"/>
        </w:rPr>
      </w:pPr>
    </w:p>
    <w:p w:rsidR="00FD3ADD" w:rsidRDefault="00FD3ADD" w:rsidP="00B85A5C">
      <w:pPr>
        <w:rPr>
          <w:rFonts w:ascii="Arial" w:hAnsi="Arial" w:cs="Arial"/>
          <w:color w:val="000000"/>
        </w:rPr>
      </w:pPr>
    </w:p>
    <w:p w:rsidR="00B85A5C" w:rsidRDefault="001F6CB4" w:rsidP="00B85A5C">
      <w:pPr>
        <w:rPr>
          <w:rFonts w:ascii="Arial" w:hAnsi="Arial" w:cs="Arial"/>
          <w:color w:val="000000"/>
        </w:rPr>
      </w:pPr>
      <w:r>
        <w:rPr>
          <w:rFonts w:ascii="Arial" w:hAnsi="Arial" w:cs="Arial"/>
          <w:color w:val="000000"/>
        </w:rPr>
        <w:t xml:space="preserve">The Society for Mining, </w:t>
      </w:r>
      <w:r w:rsidR="00FE35A0">
        <w:rPr>
          <w:rFonts w:ascii="Arial" w:hAnsi="Arial" w:cs="Arial"/>
          <w:color w:val="000000"/>
        </w:rPr>
        <w:t>M</w:t>
      </w:r>
      <w:r>
        <w:rPr>
          <w:rFonts w:ascii="Arial" w:hAnsi="Arial" w:cs="Arial"/>
          <w:color w:val="000000"/>
        </w:rPr>
        <w:t>etallurgy and Exploration (</w:t>
      </w:r>
      <w:r w:rsidR="00A10331" w:rsidRPr="00EF66E0">
        <w:rPr>
          <w:rFonts w:ascii="Arial" w:hAnsi="Arial" w:cs="Arial"/>
          <w:color w:val="000000"/>
        </w:rPr>
        <w:t>SM</w:t>
      </w:r>
      <w:r w:rsidR="00A10331">
        <w:rPr>
          <w:rFonts w:ascii="Arial" w:hAnsi="Arial" w:cs="Arial"/>
          <w:color w:val="000000"/>
        </w:rPr>
        <w:t>E</w:t>
      </w:r>
      <w:r>
        <w:rPr>
          <w:rFonts w:ascii="Arial" w:hAnsi="Arial" w:cs="Arial"/>
          <w:color w:val="000000"/>
        </w:rPr>
        <w:t>)</w:t>
      </w:r>
      <w:r w:rsidR="00A10331" w:rsidRPr="00EF66E0">
        <w:rPr>
          <w:rFonts w:ascii="Arial" w:hAnsi="Arial" w:cs="Arial"/>
          <w:color w:val="000000"/>
        </w:rPr>
        <w:t xml:space="preserve"> is a professional society whose nearly 14,000 members represent professionals serving the minerals industry in more than 85 countries.</w:t>
      </w:r>
      <w:r w:rsidR="00FE35A0">
        <w:rPr>
          <w:rFonts w:ascii="Arial" w:hAnsi="Arial" w:cs="Arial"/>
          <w:color w:val="000000"/>
        </w:rPr>
        <w:t xml:space="preserve">  </w:t>
      </w:r>
      <w:r w:rsidR="00A10331" w:rsidRPr="00EF66E0">
        <w:rPr>
          <w:rFonts w:ascii="Arial" w:hAnsi="Arial" w:cs="Arial"/>
          <w:color w:val="000000"/>
        </w:rPr>
        <w:t xml:space="preserve"> SME members are engineers, geologists, metallurgists, educators, students</w:t>
      </w:r>
      <w:r w:rsidR="00FA6257">
        <w:rPr>
          <w:rFonts w:ascii="Arial" w:hAnsi="Arial" w:cs="Arial"/>
          <w:color w:val="000000"/>
        </w:rPr>
        <w:t>,</w:t>
      </w:r>
      <w:r w:rsidR="00A10331" w:rsidRPr="00EF66E0">
        <w:rPr>
          <w:rFonts w:ascii="Arial" w:hAnsi="Arial" w:cs="Arial"/>
          <w:color w:val="000000"/>
        </w:rPr>
        <w:t xml:space="preserve"> and researchers.</w:t>
      </w:r>
      <w:r w:rsidR="00FE35A0">
        <w:rPr>
          <w:rFonts w:ascii="Arial" w:hAnsi="Arial" w:cs="Arial"/>
          <w:color w:val="000000"/>
        </w:rPr>
        <w:t xml:space="preserve">  </w:t>
      </w:r>
      <w:r w:rsidR="00A10331" w:rsidRPr="00EF66E0">
        <w:rPr>
          <w:rFonts w:ascii="Arial" w:hAnsi="Arial" w:cs="Arial"/>
          <w:color w:val="000000"/>
        </w:rPr>
        <w:t xml:space="preserve">SME advances the worldwide minerals community through information exchange and professional development. </w:t>
      </w:r>
      <w:r w:rsidR="00A10331">
        <w:rPr>
          <w:rFonts w:ascii="Arial" w:hAnsi="Arial" w:cs="Arial"/>
          <w:color w:val="000000"/>
        </w:rPr>
        <w:t>Within the society, w</w:t>
      </w:r>
      <w:r w:rsidR="00FD3ADD">
        <w:rPr>
          <w:rFonts w:ascii="Arial" w:hAnsi="Arial" w:cs="Arial"/>
          <w:color w:val="000000"/>
        </w:rPr>
        <w:t>e have a membership class, Registered Member, that is a</w:t>
      </w:r>
      <w:r w:rsidR="00A4127D">
        <w:rPr>
          <w:rFonts w:ascii="Arial" w:hAnsi="Arial" w:cs="Arial"/>
          <w:color w:val="000000"/>
        </w:rPr>
        <w:t>n Accepted Foreign Association</w:t>
      </w:r>
      <w:r w:rsidR="00FD3ADD">
        <w:rPr>
          <w:rFonts w:ascii="Arial" w:hAnsi="Arial" w:cs="Arial"/>
          <w:color w:val="000000"/>
        </w:rPr>
        <w:t xml:space="preserve"> in the updated </w:t>
      </w:r>
      <w:r w:rsidR="00A10331">
        <w:rPr>
          <w:rFonts w:ascii="Arial" w:hAnsi="Arial" w:cs="Arial"/>
          <w:color w:val="000000"/>
        </w:rPr>
        <w:t>Canadian NI</w:t>
      </w:r>
      <w:r w:rsidR="00FD3ADD">
        <w:rPr>
          <w:rFonts w:ascii="Arial" w:hAnsi="Arial" w:cs="Arial"/>
          <w:color w:val="000000"/>
        </w:rPr>
        <w:t xml:space="preserve">43-101 legislation that allows Registered Members to act as Qualified Persons for </w:t>
      </w:r>
      <w:r w:rsidR="00A4127D">
        <w:rPr>
          <w:rFonts w:ascii="Arial" w:hAnsi="Arial" w:cs="Arial"/>
          <w:color w:val="000000"/>
        </w:rPr>
        <w:t xml:space="preserve">Mineral </w:t>
      </w:r>
      <w:r w:rsidR="00902ED2">
        <w:rPr>
          <w:rFonts w:ascii="Arial" w:hAnsi="Arial" w:cs="Arial"/>
          <w:color w:val="000000"/>
        </w:rPr>
        <w:t>P</w:t>
      </w:r>
      <w:r w:rsidR="0050248F">
        <w:rPr>
          <w:rFonts w:ascii="Arial" w:hAnsi="Arial" w:cs="Arial"/>
          <w:color w:val="000000"/>
        </w:rPr>
        <w:t>rojects</w:t>
      </w:r>
      <w:r w:rsidR="00FD3ADD">
        <w:rPr>
          <w:rFonts w:ascii="Arial" w:hAnsi="Arial" w:cs="Arial"/>
          <w:color w:val="000000"/>
        </w:rPr>
        <w:t>.</w:t>
      </w:r>
      <w:r w:rsidR="00FE35A0">
        <w:rPr>
          <w:rFonts w:ascii="Arial" w:hAnsi="Arial" w:cs="Arial"/>
          <w:color w:val="000000"/>
        </w:rPr>
        <w:t xml:space="preserve">  </w:t>
      </w:r>
      <w:r w:rsidR="00FD3ADD">
        <w:rPr>
          <w:rFonts w:ascii="Arial" w:hAnsi="Arial" w:cs="Arial"/>
          <w:color w:val="000000"/>
        </w:rPr>
        <w:t>This Registered</w:t>
      </w:r>
      <w:r w:rsidR="005129EA">
        <w:rPr>
          <w:rFonts w:ascii="Arial" w:hAnsi="Arial" w:cs="Arial"/>
          <w:color w:val="000000"/>
        </w:rPr>
        <w:t xml:space="preserve"> M</w:t>
      </w:r>
      <w:r w:rsidR="00902ED2">
        <w:rPr>
          <w:rFonts w:ascii="Arial" w:hAnsi="Arial" w:cs="Arial"/>
          <w:color w:val="000000"/>
        </w:rPr>
        <w:t>ember</w:t>
      </w:r>
      <w:r w:rsidR="00FD3ADD">
        <w:rPr>
          <w:rFonts w:ascii="Arial" w:hAnsi="Arial" w:cs="Arial"/>
          <w:color w:val="000000"/>
        </w:rPr>
        <w:t xml:space="preserve"> class has over 500 members </w:t>
      </w:r>
      <w:r w:rsidR="00A4127D">
        <w:rPr>
          <w:rFonts w:ascii="Arial" w:hAnsi="Arial" w:cs="Arial"/>
          <w:color w:val="000000"/>
        </w:rPr>
        <w:t xml:space="preserve">enabled to </w:t>
      </w:r>
      <w:r w:rsidR="00FD3ADD">
        <w:rPr>
          <w:rFonts w:ascii="Arial" w:hAnsi="Arial" w:cs="Arial"/>
          <w:color w:val="000000"/>
        </w:rPr>
        <w:t>act as Competent/Qualified Persons within the international mining industry</w:t>
      </w:r>
      <w:r w:rsidR="00B85A5C">
        <w:rPr>
          <w:rFonts w:ascii="Arial" w:hAnsi="Arial" w:cs="Arial"/>
          <w:color w:val="000000"/>
        </w:rPr>
        <w:t>.</w:t>
      </w:r>
    </w:p>
    <w:p w:rsidR="00866FCD" w:rsidRDefault="00866FCD" w:rsidP="00AF3284"/>
    <w:p w:rsidR="000A05FE" w:rsidRPr="00FD3ADD" w:rsidRDefault="00FD3ADD" w:rsidP="00FD3ADD">
      <w:pPr>
        <w:rPr>
          <w:rFonts w:ascii="Arial" w:hAnsi="Arial" w:cs="Arial"/>
          <w:color w:val="000000"/>
        </w:rPr>
      </w:pPr>
      <w:r w:rsidRPr="00FD3ADD">
        <w:rPr>
          <w:rFonts w:ascii="Arial" w:hAnsi="Arial" w:cs="Arial"/>
          <w:color w:val="000000"/>
        </w:rPr>
        <w:t>The Can</w:t>
      </w:r>
      <w:r w:rsidR="00BD4BB8">
        <w:rPr>
          <w:rFonts w:ascii="Arial" w:hAnsi="Arial" w:cs="Arial"/>
          <w:color w:val="000000"/>
        </w:rPr>
        <w:t>a</w:t>
      </w:r>
      <w:r w:rsidRPr="00FD3ADD">
        <w:rPr>
          <w:rFonts w:ascii="Arial" w:hAnsi="Arial" w:cs="Arial"/>
          <w:color w:val="000000"/>
        </w:rPr>
        <w:t>dian Securities A</w:t>
      </w:r>
      <w:r w:rsidR="00A10331">
        <w:rPr>
          <w:rFonts w:ascii="Arial" w:hAnsi="Arial" w:cs="Arial"/>
          <w:color w:val="000000"/>
        </w:rPr>
        <w:t>dministrators</w:t>
      </w:r>
      <w:r w:rsidRPr="00FD3ADD">
        <w:rPr>
          <w:rFonts w:ascii="Arial" w:hAnsi="Arial" w:cs="Arial"/>
          <w:color w:val="000000"/>
        </w:rPr>
        <w:t xml:space="preserve"> ha</w:t>
      </w:r>
      <w:r w:rsidR="00A10331">
        <w:rPr>
          <w:rFonts w:ascii="Arial" w:hAnsi="Arial" w:cs="Arial"/>
          <w:color w:val="000000"/>
        </w:rPr>
        <w:t>ve</w:t>
      </w:r>
      <w:r w:rsidRPr="00FD3ADD">
        <w:rPr>
          <w:rFonts w:ascii="Arial" w:hAnsi="Arial" w:cs="Arial"/>
          <w:color w:val="000000"/>
        </w:rPr>
        <w:t xml:space="preserve"> requested comments on </w:t>
      </w:r>
      <w:r w:rsidR="000A05FE" w:rsidRPr="00FD3ADD">
        <w:rPr>
          <w:rFonts w:ascii="Arial" w:hAnsi="Arial" w:cs="Arial"/>
          <w:color w:val="000000"/>
        </w:rPr>
        <w:t>Proposed Amendments to National Instrument 41-101 General Prospectus Requirements and Companion Policy 41-101CP, and other proposed amendments, dated July 15, 2011.</w:t>
      </w:r>
    </w:p>
    <w:p w:rsidR="000A05FE" w:rsidRDefault="000A05FE" w:rsidP="000A05FE">
      <w:pPr>
        <w:rPr>
          <w:lang w:eastAsia="en-GB"/>
        </w:rPr>
      </w:pPr>
    </w:p>
    <w:p w:rsidR="00FD3ADD" w:rsidRPr="007769D0" w:rsidRDefault="00FD3ADD" w:rsidP="000A05FE">
      <w:pPr>
        <w:rPr>
          <w:rFonts w:ascii="Arial" w:hAnsi="Arial" w:cs="Arial"/>
          <w:color w:val="000000"/>
        </w:rPr>
      </w:pPr>
      <w:r w:rsidRPr="007769D0">
        <w:rPr>
          <w:rFonts w:ascii="Arial" w:hAnsi="Arial" w:cs="Arial"/>
          <w:color w:val="000000"/>
        </w:rPr>
        <w:t>This letter responds to issues the SME</w:t>
      </w:r>
      <w:r w:rsidR="00402141">
        <w:rPr>
          <w:rFonts w:ascii="Arial" w:hAnsi="Arial" w:cs="Arial"/>
          <w:color w:val="000000"/>
        </w:rPr>
        <w:t xml:space="preserve"> has identified</w:t>
      </w:r>
      <w:r w:rsidRPr="007769D0">
        <w:rPr>
          <w:rFonts w:ascii="Arial" w:hAnsi="Arial" w:cs="Arial"/>
          <w:color w:val="000000"/>
        </w:rPr>
        <w:t xml:space="preserve"> with the proposed amendments that we believe will be </w:t>
      </w:r>
      <w:r w:rsidR="007769D0" w:rsidRPr="007769D0">
        <w:rPr>
          <w:rFonts w:ascii="Arial" w:hAnsi="Arial" w:cs="Arial"/>
          <w:color w:val="000000"/>
        </w:rPr>
        <w:t>potentially harmful</w:t>
      </w:r>
      <w:r w:rsidRPr="007769D0">
        <w:rPr>
          <w:rFonts w:ascii="Arial" w:hAnsi="Arial" w:cs="Arial"/>
          <w:color w:val="000000"/>
        </w:rPr>
        <w:t xml:space="preserve"> to </w:t>
      </w:r>
      <w:r w:rsidR="007769D0" w:rsidRPr="007769D0">
        <w:rPr>
          <w:rFonts w:ascii="Arial" w:hAnsi="Arial" w:cs="Arial"/>
          <w:color w:val="000000"/>
        </w:rPr>
        <w:t xml:space="preserve">the alignment of international reporting standards as embodied by the CRIRSCO template </w:t>
      </w:r>
      <w:r w:rsidR="00A4127D">
        <w:rPr>
          <w:rFonts w:ascii="Arial" w:hAnsi="Arial" w:cs="Arial"/>
          <w:color w:val="000000"/>
        </w:rPr>
        <w:t>with</w:t>
      </w:r>
      <w:r w:rsidR="007769D0" w:rsidRPr="007769D0">
        <w:rPr>
          <w:rFonts w:ascii="Arial" w:hAnsi="Arial" w:cs="Arial"/>
          <w:color w:val="000000"/>
        </w:rPr>
        <w:t xml:space="preserve"> which our SME Guide</w:t>
      </w:r>
      <w:r w:rsidR="00402141">
        <w:rPr>
          <w:rFonts w:ascii="Arial" w:hAnsi="Arial" w:cs="Arial"/>
          <w:color w:val="000000"/>
        </w:rPr>
        <w:t xml:space="preserve"> for Reporting Exploration Information, Mineral Resources and Mineral Reserves</w:t>
      </w:r>
      <w:r w:rsidR="00A4127D">
        <w:rPr>
          <w:rFonts w:ascii="Arial" w:hAnsi="Arial" w:cs="Arial"/>
          <w:color w:val="000000"/>
        </w:rPr>
        <w:t xml:space="preserve"> and the Definition Standards of our sister society the CIM are</w:t>
      </w:r>
      <w:r w:rsidR="007769D0" w:rsidRPr="007769D0">
        <w:rPr>
          <w:rFonts w:ascii="Arial" w:hAnsi="Arial" w:cs="Arial"/>
          <w:color w:val="000000"/>
        </w:rPr>
        <w:t xml:space="preserve"> aligned.</w:t>
      </w:r>
    </w:p>
    <w:p w:rsidR="00F70F80" w:rsidRPr="00A4127D" w:rsidRDefault="00A4127D" w:rsidP="00A4127D">
      <w:pPr>
        <w:pStyle w:val="Heading3"/>
        <w:rPr>
          <w:rFonts w:ascii="Arial" w:hAnsi="Arial" w:cs="Arial"/>
          <w:color w:val="auto"/>
          <w:lang w:eastAsia="en-GB"/>
        </w:rPr>
      </w:pPr>
      <w:r w:rsidRPr="00A4127D">
        <w:rPr>
          <w:rFonts w:ascii="Arial" w:hAnsi="Arial" w:cs="Arial"/>
          <w:color w:val="auto"/>
          <w:lang w:eastAsia="en-GB"/>
        </w:rPr>
        <w:lastRenderedPageBreak/>
        <w:t>INTRODUCTION</w:t>
      </w:r>
    </w:p>
    <w:p w:rsidR="00A4127D" w:rsidRPr="00A4127D" w:rsidRDefault="00A4127D" w:rsidP="00A4127D">
      <w:pPr>
        <w:rPr>
          <w:lang w:eastAsia="en-GB"/>
        </w:rPr>
      </w:pPr>
    </w:p>
    <w:p w:rsidR="00286226" w:rsidRPr="007769D0" w:rsidRDefault="007769D0" w:rsidP="00463BDA">
      <w:pPr>
        <w:rPr>
          <w:rFonts w:ascii="Arial" w:hAnsi="Arial" w:cs="Arial"/>
          <w:color w:val="000000"/>
        </w:rPr>
      </w:pPr>
      <w:r w:rsidRPr="007769D0">
        <w:rPr>
          <w:rFonts w:ascii="Arial" w:hAnsi="Arial" w:cs="Arial"/>
          <w:color w:val="000000"/>
        </w:rPr>
        <w:t>SME</w:t>
      </w:r>
      <w:r w:rsidR="00AD53A2">
        <w:rPr>
          <w:rFonts w:ascii="Arial" w:hAnsi="Arial" w:cs="Arial"/>
          <w:color w:val="000000"/>
        </w:rPr>
        <w:t xml:space="preserve"> is a founding member organiz</w:t>
      </w:r>
      <w:r w:rsidR="00286226" w:rsidRPr="007769D0">
        <w:rPr>
          <w:rFonts w:ascii="Arial" w:hAnsi="Arial" w:cs="Arial"/>
          <w:color w:val="000000"/>
        </w:rPr>
        <w:t>ation of CRIRSCO, the Committee for Mineral Reserves International</w:t>
      </w:r>
      <w:r w:rsidR="00286226">
        <w:rPr>
          <w:lang w:eastAsia="en-GB"/>
        </w:rPr>
        <w:t xml:space="preserve"> </w:t>
      </w:r>
      <w:r w:rsidR="00286226" w:rsidRPr="007769D0">
        <w:rPr>
          <w:rFonts w:ascii="Arial" w:hAnsi="Arial" w:cs="Arial"/>
          <w:color w:val="000000"/>
        </w:rPr>
        <w:t xml:space="preserve">Reporting Standards. CRIRSCO </w:t>
      </w:r>
      <w:r>
        <w:rPr>
          <w:rFonts w:ascii="Arial" w:hAnsi="Arial" w:cs="Arial"/>
          <w:color w:val="000000"/>
        </w:rPr>
        <w:t xml:space="preserve">founding </w:t>
      </w:r>
      <w:r w:rsidR="00286226" w:rsidRPr="007769D0">
        <w:rPr>
          <w:rFonts w:ascii="Arial" w:hAnsi="Arial" w:cs="Arial"/>
          <w:color w:val="000000"/>
        </w:rPr>
        <w:t>members</w:t>
      </w:r>
      <w:r w:rsidRPr="007769D0">
        <w:rPr>
          <w:rFonts w:ascii="Arial" w:hAnsi="Arial" w:cs="Arial"/>
          <w:color w:val="000000"/>
        </w:rPr>
        <w:t xml:space="preserve"> also include the</w:t>
      </w:r>
      <w:r w:rsidR="00286226" w:rsidRPr="007769D0">
        <w:rPr>
          <w:rFonts w:ascii="Arial" w:hAnsi="Arial" w:cs="Arial"/>
          <w:color w:val="000000"/>
        </w:rPr>
        <w:t xml:space="preserve"> Canadian Institute of Mining, Metallurgy and Petroleum</w:t>
      </w:r>
      <w:r w:rsidRPr="007769D0">
        <w:rPr>
          <w:rFonts w:ascii="Arial" w:hAnsi="Arial" w:cs="Arial"/>
          <w:color w:val="000000"/>
        </w:rPr>
        <w:t xml:space="preserve"> (CIM)</w:t>
      </w:r>
      <w:r>
        <w:rPr>
          <w:rFonts w:ascii="Arial" w:hAnsi="Arial" w:cs="Arial"/>
          <w:color w:val="000000"/>
        </w:rPr>
        <w:t xml:space="preserve">, </w:t>
      </w:r>
      <w:r w:rsidR="00902ED2">
        <w:rPr>
          <w:rFonts w:ascii="Arial" w:hAnsi="Arial" w:cs="Arial"/>
          <w:color w:val="000000"/>
        </w:rPr>
        <w:t>Joint (</w:t>
      </w:r>
      <w:r>
        <w:rPr>
          <w:rFonts w:ascii="Arial" w:hAnsi="Arial" w:cs="Arial"/>
          <w:color w:val="000000"/>
        </w:rPr>
        <w:t>Australasian</w:t>
      </w:r>
      <w:r w:rsidR="00902ED2">
        <w:rPr>
          <w:rFonts w:ascii="Arial" w:hAnsi="Arial" w:cs="Arial"/>
          <w:color w:val="000000"/>
        </w:rPr>
        <w:t>) Ore Reserves Committee</w:t>
      </w:r>
      <w:r>
        <w:rPr>
          <w:rFonts w:ascii="Arial" w:hAnsi="Arial" w:cs="Arial"/>
          <w:color w:val="000000"/>
        </w:rPr>
        <w:t xml:space="preserve"> </w:t>
      </w:r>
      <w:r w:rsidRPr="007769D0">
        <w:rPr>
          <w:rFonts w:ascii="Arial" w:hAnsi="Arial" w:cs="Arial"/>
          <w:color w:val="000000"/>
        </w:rPr>
        <w:t>(JORC)</w:t>
      </w:r>
      <w:r>
        <w:rPr>
          <w:rFonts w:ascii="Arial" w:hAnsi="Arial" w:cs="Arial"/>
          <w:color w:val="000000"/>
        </w:rPr>
        <w:t>, the South African Mineral Resources and Mineral Reserves Committee (SAMREC)</w:t>
      </w:r>
      <w:r w:rsidR="00AF5BA8">
        <w:rPr>
          <w:rFonts w:ascii="Arial" w:hAnsi="Arial" w:cs="Arial"/>
          <w:color w:val="000000"/>
        </w:rPr>
        <w:t>, the Comision Minera de Chile, and the Institution of Mining and Metallurgy reserves committee in the UK, now succeeded by the Pan-European Reserves &amp; Resources Reporting Committee (PERC).</w:t>
      </w:r>
      <w:r w:rsidR="00FE35A0">
        <w:rPr>
          <w:rFonts w:ascii="Arial" w:hAnsi="Arial" w:cs="Arial"/>
          <w:color w:val="000000"/>
        </w:rPr>
        <w:t xml:space="preserve">  </w:t>
      </w:r>
      <w:r>
        <w:rPr>
          <w:rFonts w:ascii="Arial" w:hAnsi="Arial" w:cs="Arial"/>
          <w:color w:val="000000"/>
        </w:rPr>
        <w:t xml:space="preserve"> CRIRSCO’s </w:t>
      </w:r>
      <w:r w:rsidR="00BD4BB8">
        <w:rPr>
          <w:rFonts w:ascii="Arial" w:hAnsi="Arial" w:cs="Arial"/>
          <w:color w:val="000000"/>
        </w:rPr>
        <w:t xml:space="preserve">goal </w:t>
      </w:r>
      <w:r w:rsidR="00286226" w:rsidRPr="007769D0">
        <w:rPr>
          <w:rFonts w:ascii="Arial" w:hAnsi="Arial" w:cs="Arial"/>
          <w:color w:val="000000"/>
        </w:rPr>
        <w:t xml:space="preserve">is to define standards and promote best practice in public reporting of </w:t>
      </w:r>
      <w:r w:rsidR="00A10331">
        <w:rPr>
          <w:rFonts w:ascii="Arial" w:hAnsi="Arial" w:cs="Arial"/>
          <w:color w:val="000000"/>
        </w:rPr>
        <w:t>E</w:t>
      </w:r>
      <w:r w:rsidR="00286226" w:rsidRPr="007769D0">
        <w:rPr>
          <w:rFonts w:ascii="Arial" w:hAnsi="Arial" w:cs="Arial"/>
          <w:color w:val="000000"/>
        </w:rPr>
        <w:t xml:space="preserve">xploration </w:t>
      </w:r>
      <w:r w:rsidR="00A10331">
        <w:rPr>
          <w:rFonts w:ascii="Arial" w:hAnsi="Arial" w:cs="Arial"/>
          <w:color w:val="000000"/>
        </w:rPr>
        <w:t>R</w:t>
      </w:r>
      <w:r w:rsidR="00286226" w:rsidRPr="007769D0">
        <w:rPr>
          <w:rFonts w:ascii="Arial" w:hAnsi="Arial" w:cs="Arial"/>
          <w:color w:val="000000"/>
        </w:rPr>
        <w:t xml:space="preserve">esults, </w:t>
      </w:r>
      <w:r w:rsidR="00A10331">
        <w:rPr>
          <w:rFonts w:ascii="Arial" w:hAnsi="Arial" w:cs="Arial"/>
          <w:color w:val="000000"/>
        </w:rPr>
        <w:t>M</w:t>
      </w:r>
      <w:r w:rsidR="00286226" w:rsidRPr="007769D0">
        <w:rPr>
          <w:rFonts w:ascii="Arial" w:hAnsi="Arial" w:cs="Arial"/>
          <w:color w:val="000000"/>
        </w:rPr>
        <w:t xml:space="preserve">ineral </w:t>
      </w:r>
      <w:r w:rsidR="00A10331">
        <w:rPr>
          <w:rFonts w:ascii="Arial" w:hAnsi="Arial" w:cs="Arial"/>
          <w:color w:val="000000"/>
        </w:rPr>
        <w:t>R</w:t>
      </w:r>
      <w:r w:rsidR="00286226" w:rsidRPr="007769D0">
        <w:rPr>
          <w:rFonts w:ascii="Arial" w:hAnsi="Arial" w:cs="Arial"/>
          <w:color w:val="000000"/>
        </w:rPr>
        <w:t xml:space="preserve">esources and </w:t>
      </w:r>
      <w:r w:rsidR="00A10331">
        <w:rPr>
          <w:rFonts w:ascii="Arial" w:hAnsi="Arial" w:cs="Arial"/>
          <w:color w:val="000000"/>
        </w:rPr>
        <w:t>M</w:t>
      </w:r>
      <w:r w:rsidR="00286226" w:rsidRPr="007769D0">
        <w:rPr>
          <w:rFonts w:ascii="Arial" w:hAnsi="Arial" w:cs="Arial"/>
          <w:color w:val="000000"/>
        </w:rPr>
        <w:t xml:space="preserve">ineral </w:t>
      </w:r>
      <w:r w:rsidR="00A10331">
        <w:rPr>
          <w:rFonts w:ascii="Arial" w:hAnsi="Arial" w:cs="Arial"/>
          <w:color w:val="000000"/>
        </w:rPr>
        <w:t>R</w:t>
      </w:r>
      <w:r w:rsidR="00286226" w:rsidRPr="007769D0">
        <w:rPr>
          <w:rFonts w:ascii="Arial" w:hAnsi="Arial" w:cs="Arial"/>
          <w:color w:val="000000"/>
        </w:rPr>
        <w:t xml:space="preserve">eserves. </w:t>
      </w:r>
      <w:r w:rsidR="00463BDA">
        <w:rPr>
          <w:rFonts w:ascii="Arial" w:hAnsi="Arial" w:cs="Arial"/>
          <w:color w:val="000000"/>
        </w:rPr>
        <w:t>CIM Best Practice Guidelines are referenced in the Companion Policy of NI 43-101, and definitions from the CIM Definition Standards for Mineral Resources and Mineral Reserves have been</w:t>
      </w:r>
      <w:r w:rsidR="00463BDA" w:rsidRPr="007769D0">
        <w:rPr>
          <w:rFonts w:ascii="Arial" w:hAnsi="Arial" w:cs="Arial"/>
          <w:color w:val="000000"/>
        </w:rPr>
        <w:t xml:space="preserve"> incorporated </w:t>
      </w:r>
      <w:r w:rsidR="00463BDA">
        <w:rPr>
          <w:rFonts w:ascii="Arial" w:hAnsi="Arial" w:cs="Arial"/>
          <w:color w:val="000000"/>
        </w:rPr>
        <w:t xml:space="preserve">by reference </w:t>
      </w:r>
      <w:r w:rsidR="00463BDA" w:rsidRPr="007769D0">
        <w:rPr>
          <w:rFonts w:ascii="Arial" w:hAnsi="Arial" w:cs="Arial"/>
          <w:color w:val="000000"/>
        </w:rPr>
        <w:t>into NI 43-101.</w:t>
      </w:r>
      <w:r w:rsidR="00902ED2">
        <w:rPr>
          <w:rFonts w:ascii="Arial" w:hAnsi="Arial" w:cs="Arial"/>
          <w:color w:val="000000"/>
        </w:rPr>
        <w:t xml:space="preserve"> These standards are aligned with CRIRSCO standards as set forth in a Template to which all of the committees mention</w:t>
      </w:r>
      <w:r w:rsidR="00FA6257">
        <w:rPr>
          <w:rFonts w:ascii="Arial" w:hAnsi="Arial" w:cs="Arial"/>
          <w:color w:val="000000"/>
        </w:rPr>
        <w:t>ed</w:t>
      </w:r>
      <w:r w:rsidR="00902ED2">
        <w:rPr>
          <w:rFonts w:ascii="Arial" w:hAnsi="Arial" w:cs="Arial"/>
          <w:color w:val="000000"/>
        </w:rPr>
        <w:t xml:space="preserve"> above have subscribed.</w:t>
      </w:r>
    </w:p>
    <w:p w:rsidR="00286226" w:rsidRPr="007769D0" w:rsidRDefault="00286226" w:rsidP="000A05FE">
      <w:pPr>
        <w:rPr>
          <w:rFonts w:ascii="Arial" w:hAnsi="Arial" w:cs="Arial"/>
          <w:color w:val="000000"/>
        </w:rPr>
      </w:pPr>
    </w:p>
    <w:p w:rsidR="00286226" w:rsidRPr="007769D0" w:rsidRDefault="00BD4BB8" w:rsidP="000A05FE">
      <w:pPr>
        <w:rPr>
          <w:rFonts w:ascii="Arial" w:hAnsi="Arial" w:cs="Arial"/>
          <w:color w:val="000000"/>
        </w:rPr>
      </w:pPr>
      <w:r>
        <w:rPr>
          <w:rFonts w:ascii="Arial" w:hAnsi="Arial" w:cs="Arial"/>
          <w:color w:val="000000"/>
        </w:rPr>
        <w:t>Our response is focussed on paragraph (g) of</w:t>
      </w:r>
      <w:r w:rsidR="00286226" w:rsidRPr="007769D0">
        <w:rPr>
          <w:rFonts w:ascii="Arial" w:hAnsi="Arial" w:cs="Arial"/>
          <w:color w:val="000000"/>
        </w:rPr>
        <w:t xml:space="preserve"> page 7 and the related request for comments on page 13 of the CSA consultation document. We </w:t>
      </w:r>
      <w:r>
        <w:rPr>
          <w:rFonts w:ascii="Arial" w:hAnsi="Arial" w:cs="Arial"/>
          <w:color w:val="000000"/>
        </w:rPr>
        <w:t>share concerns as have other CRIRSCO members,</w:t>
      </w:r>
      <w:r w:rsidR="00286226" w:rsidRPr="007769D0">
        <w:rPr>
          <w:rFonts w:ascii="Arial" w:hAnsi="Arial" w:cs="Arial"/>
          <w:color w:val="000000"/>
        </w:rPr>
        <w:t xml:space="preserve"> that the proposed amendments to NI 41-101 </w:t>
      </w:r>
      <w:r>
        <w:rPr>
          <w:rFonts w:ascii="Arial" w:hAnsi="Arial" w:cs="Arial"/>
          <w:color w:val="000000"/>
        </w:rPr>
        <w:t xml:space="preserve">will </w:t>
      </w:r>
      <w:r w:rsidR="00286226" w:rsidRPr="007769D0">
        <w:rPr>
          <w:rFonts w:ascii="Arial" w:hAnsi="Arial" w:cs="Arial"/>
          <w:color w:val="000000"/>
        </w:rPr>
        <w:t xml:space="preserve">conflict with the evolving international system of mutual recognition of professionals acting as "Qualified Persons" (in Canada) or "Competent Persons" (in many other </w:t>
      </w:r>
      <w:r w:rsidR="00402141">
        <w:rPr>
          <w:rFonts w:ascii="Arial" w:hAnsi="Arial" w:cs="Arial"/>
          <w:color w:val="000000"/>
        </w:rPr>
        <w:t>countries</w:t>
      </w:r>
      <w:r w:rsidR="00E00938">
        <w:rPr>
          <w:rFonts w:ascii="Arial" w:hAnsi="Arial" w:cs="Arial"/>
          <w:color w:val="000000"/>
        </w:rPr>
        <w:t>)</w:t>
      </w:r>
      <w:r w:rsidR="00286226" w:rsidRPr="007769D0">
        <w:rPr>
          <w:rFonts w:ascii="Arial" w:hAnsi="Arial" w:cs="Arial"/>
          <w:color w:val="000000"/>
        </w:rPr>
        <w:t>.</w:t>
      </w:r>
    </w:p>
    <w:p w:rsidR="000A05FE" w:rsidRPr="007769D0" w:rsidRDefault="000A05FE" w:rsidP="000A05FE">
      <w:pPr>
        <w:rPr>
          <w:rFonts w:ascii="Arial" w:hAnsi="Arial" w:cs="Arial"/>
          <w:color w:val="000000"/>
          <w:sz w:val="24"/>
        </w:rPr>
      </w:pPr>
    </w:p>
    <w:p w:rsidR="000A05FE" w:rsidRPr="00A4127D" w:rsidRDefault="00A4127D" w:rsidP="000A05FE">
      <w:pPr>
        <w:pStyle w:val="Heading3"/>
        <w:rPr>
          <w:rFonts w:ascii="Arial" w:hAnsi="Arial" w:cs="Arial"/>
          <w:color w:val="auto"/>
          <w:lang w:eastAsia="en-GB"/>
        </w:rPr>
      </w:pPr>
      <w:r>
        <w:rPr>
          <w:rFonts w:ascii="Arial" w:hAnsi="Arial" w:cs="Arial"/>
          <w:color w:val="auto"/>
          <w:lang w:eastAsia="en-GB"/>
        </w:rPr>
        <w:t>COMMENTS</w:t>
      </w:r>
    </w:p>
    <w:p w:rsidR="000A05FE" w:rsidRDefault="000A05FE" w:rsidP="000A05FE">
      <w:pPr>
        <w:rPr>
          <w:lang w:eastAsia="en-GB"/>
        </w:rPr>
      </w:pPr>
    </w:p>
    <w:p w:rsidR="00251E49" w:rsidRDefault="00AD53A2" w:rsidP="00B741DB">
      <w:pPr>
        <w:rPr>
          <w:rFonts w:ascii="Arial" w:hAnsi="Arial" w:cs="Arial"/>
          <w:color w:val="000000"/>
        </w:rPr>
      </w:pPr>
      <w:r>
        <w:rPr>
          <w:rFonts w:ascii="Arial" w:hAnsi="Arial" w:cs="Arial"/>
          <w:color w:val="000000"/>
        </w:rPr>
        <w:t>In the SME’s opinion, t</w:t>
      </w:r>
      <w:r w:rsidR="00B741DB" w:rsidRPr="00BD4BB8">
        <w:rPr>
          <w:rFonts w:ascii="Arial" w:hAnsi="Arial" w:cs="Arial"/>
          <w:color w:val="000000"/>
        </w:rPr>
        <w:t>he proposed amendments w</w:t>
      </w:r>
      <w:r>
        <w:rPr>
          <w:rFonts w:ascii="Arial" w:hAnsi="Arial" w:cs="Arial"/>
          <w:color w:val="000000"/>
        </w:rPr>
        <w:t>ill likely create significant hardship for non-Canadian</w:t>
      </w:r>
      <w:r w:rsidR="00B741DB" w:rsidRPr="00BD4BB8">
        <w:rPr>
          <w:rFonts w:ascii="Arial" w:hAnsi="Arial" w:cs="Arial"/>
          <w:color w:val="000000"/>
        </w:rPr>
        <w:t xml:space="preserve"> consultant</w:t>
      </w:r>
      <w:r>
        <w:rPr>
          <w:rFonts w:ascii="Arial" w:hAnsi="Arial" w:cs="Arial"/>
          <w:color w:val="000000"/>
        </w:rPr>
        <w:t>s</w:t>
      </w:r>
      <w:r w:rsidR="00B741DB" w:rsidRPr="00BD4BB8">
        <w:rPr>
          <w:rFonts w:ascii="Arial" w:hAnsi="Arial" w:cs="Arial"/>
          <w:color w:val="000000"/>
        </w:rPr>
        <w:t>, particular</w:t>
      </w:r>
      <w:r>
        <w:rPr>
          <w:rFonts w:ascii="Arial" w:hAnsi="Arial" w:cs="Arial"/>
          <w:color w:val="000000"/>
        </w:rPr>
        <w:t>ly</w:t>
      </w:r>
      <w:r w:rsidR="00B741DB" w:rsidRPr="00BD4BB8">
        <w:rPr>
          <w:rFonts w:ascii="Arial" w:hAnsi="Arial" w:cs="Arial"/>
          <w:color w:val="000000"/>
        </w:rPr>
        <w:t xml:space="preserve"> from small firms or independent</w:t>
      </w:r>
      <w:r>
        <w:rPr>
          <w:rFonts w:ascii="Arial" w:hAnsi="Arial" w:cs="Arial"/>
          <w:color w:val="000000"/>
        </w:rPr>
        <w:t>s</w:t>
      </w:r>
      <w:r w:rsidR="00251E49">
        <w:rPr>
          <w:rFonts w:ascii="Arial" w:hAnsi="Arial" w:cs="Arial"/>
          <w:color w:val="000000"/>
        </w:rPr>
        <w:t xml:space="preserve"> acting as Qualified Persons (QPs) or experts. This hardship will result from the proposed requirement </w:t>
      </w:r>
      <w:r w:rsidR="00E00938">
        <w:rPr>
          <w:rFonts w:ascii="Arial" w:hAnsi="Arial" w:cs="Arial"/>
          <w:color w:val="000000"/>
        </w:rPr>
        <w:t>for appointing</w:t>
      </w:r>
      <w:r>
        <w:rPr>
          <w:rFonts w:ascii="Arial" w:hAnsi="Arial" w:cs="Arial"/>
          <w:color w:val="000000"/>
        </w:rPr>
        <w:t xml:space="preserve"> an</w:t>
      </w:r>
      <w:r w:rsidR="00B741DB" w:rsidRPr="00BD4BB8">
        <w:rPr>
          <w:rFonts w:ascii="Arial" w:hAnsi="Arial" w:cs="Arial"/>
          <w:color w:val="000000"/>
        </w:rPr>
        <w:t xml:space="preserve"> agent </w:t>
      </w:r>
      <w:r w:rsidR="00251E49">
        <w:rPr>
          <w:rFonts w:ascii="Arial" w:hAnsi="Arial" w:cs="Arial"/>
          <w:color w:val="000000"/>
        </w:rPr>
        <w:t xml:space="preserve">for service </w:t>
      </w:r>
      <w:r w:rsidR="00B741DB" w:rsidRPr="00BD4BB8">
        <w:rPr>
          <w:rFonts w:ascii="Arial" w:hAnsi="Arial" w:cs="Arial"/>
          <w:color w:val="000000"/>
        </w:rPr>
        <w:t xml:space="preserve">in Canada </w:t>
      </w:r>
      <w:r w:rsidR="00251E49">
        <w:rPr>
          <w:rFonts w:ascii="Arial" w:hAnsi="Arial" w:cs="Arial"/>
          <w:color w:val="000000"/>
        </w:rPr>
        <w:t>in multiple jurisdictions.</w:t>
      </w:r>
      <w:r w:rsidR="00FE35A0">
        <w:rPr>
          <w:rFonts w:ascii="Arial" w:hAnsi="Arial" w:cs="Arial"/>
          <w:color w:val="000000"/>
        </w:rPr>
        <w:t xml:space="preserve">  </w:t>
      </w:r>
      <w:r w:rsidR="00251E49">
        <w:rPr>
          <w:rFonts w:ascii="Arial" w:hAnsi="Arial" w:cs="Arial"/>
          <w:color w:val="000000"/>
        </w:rPr>
        <w:t xml:space="preserve"> The proposed requirement could have the following consequences:</w:t>
      </w:r>
    </w:p>
    <w:p w:rsidR="00251E49" w:rsidRDefault="00251E49" w:rsidP="00B741DB">
      <w:pPr>
        <w:rPr>
          <w:rFonts w:ascii="Arial" w:hAnsi="Arial" w:cs="Arial"/>
          <w:color w:val="000000"/>
        </w:rPr>
      </w:pPr>
    </w:p>
    <w:p w:rsidR="00A4127D" w:rsidRDefault="00251E49" w:rsidP="00251E49">
      <w:pPr>
        <w:pStyle w:val="ListParagraph"/>
        <w:numPr>
          <w:ilvl w:val="0"/>
          <w:numId w:val="22"/>
        </w:numPr>
        <w:rPr>
          <w:rFonts w:ascii="Arial" w:hAnsi="Arial" w:cs="Arial"/>
          <w:color w:val="000000"/>
        </w:rPr>
      </w:pPr>
      <w:r>
        <w:rPr>
          <w:rFonts w:ascii="Arial" w:hAnsi="Arial" w:cs="Arial"/>
          <w:color w:val="000000"/>
        </w:rPr>
        <w:t>Foreign QPs and experts could decline to</w:t>
      </w:r>
      <w:r w:rsidR="00463BDA">
        <w:rPr>
          <w:rFonts w:ascii="Arial" w:hAnsi="Arial" w:cs="Arial"/>
          <w:color w:val="000000"/>
        </w:rPr>
        <w:t xml:space="preserve"> author technical documents that may be filed with Canadian securities regulators.</w:t>
      </w:r>
      <w:r w:rsidR="00FE35A0">
        <w:rPr>
          <w:rFonts w:ascii="Arial" w:hAnsi="Arial" w:cs="Arial"/>
          <w:color w:val="000000"/>
        </w:rPr>
        <w:t xml:space="preserve">  </w:t>
      </w:r>
      <w:r>
        <w:rPr>
          <w:rFonts w:ascii="Arial" w:hAnsi="Arial" w:cs="Arial"/>
          <w:color w:val="000000"/>
        </w:rPr>
        <w:t>For many mineral deposits, particularly those located outside Canada, the best qualified QP or expert may be a foreign professional.</w:t>
      </w:r>
      <w:r w:rsidR="00FE35A0">
        <w:rPr>
          <w:rFonts w:ascii="Arial" w:hAnsi="Arial" w:cs="Arial"/>
          <w:color w:val="000000"/>
        </w:rPr>
        <w:t xml:space="preserve">  </w:t>
      </w:r>
      <w:r>
        <w:rPr>
          <w:rFonts w:ascii="Arial" w:hAnsi="Arial" w:cs="Arial"/>
          <w:color w:val="000000"/>
        </w:rPr>
        <w:t>The proposed requirement could result</w:t>
      </w:r>
      <w:r w:rsidR="00582CBA">
        <w:rPr>
          <w:rFonts w:ascii="Arial" w:hAnsi="Arial" w:cs="Arial"/>
          <w:color w:val="000000"/>
        </w:rPr>
        <w:t xml:space="preserve"> in use of less qualified QPs and</w:t>
      </w:r>
      <w:r>
        <w:rPr>
          <w:rFonts w:ascii="Arial" w:hAnsi="Arial" w:cs="Arial"/>
          <w:color w:val="000000"/>
        </w:rPr>
        <w:t xml:space="preserve"> in the degradation of the quality of NI43-101 compliant technical reports that may be harmful to investors, their financial advisors and government.</w:t>
      </w:r>
    </w:p>
    <w:p w:rsidR="00E00938" w:rsidRDefault="00E00938" w:rsidP="00E00938">
      <w:pPr>
        <w:pStyle w:val="ListParagraph"/>
        <w:rPr>
          <w:rFonts w:ascii="Arial" w:hAnsi="Arial" w:cs="Arial"/>
          <w:color w:val="000000"/>
        </w:rPr>
      </w:pPr>
    </w:p>
    <w:p w:rsidR="00AF3CF1" w:rsidRDefault="00463BDA" w:rsidP="00251E49">
      <w:pPr>
        <w:pStyle w:val="ListParagraph"/>
        <w:numPr>
          <w:ilvl w:val="0"/>
          <w:numId w:val="22"/>
        </w:numPr>
        <w:rPr>
          <w:rFonts w:ascii="Arial" w:hAnsi="Arial" w:cs="Arial"/>
          <w:color w:val="000000"/>
        </w:rPr>
      </w:pPr>
      <w:r>
        <w:rPr>
          <w:rFonts w:ascii="Arial" w:hAnsi="Arial" w:cs="Arial"/>
          <w:color w:val="000000"/>
        </w:rPr>
        <w:t>If they did agree to author expert reports that could be referenced in future prospectus filings</w:t>
      </w:r>
      <w:r w:rsidR="00AF3CF1">
        <w:rPr>
          <w:rFonts w:ascii="Arial" w:hAnsi="Arial" w:cs="Arial"/>
          <w:color w:val="000000"/>
        </w:rPr>
        <w:t xml:space="preserve">, QPs would have to find and appoint agents, pay fees and possibly register themselves or their firms with provincial professional associations and government agencies. This will add costs to preparation of technical reports and possibly </w:t>
      </w:r>
      <w:r w:rsidR="00582CBA">
        <w:rPr>
          <w:rFonts w:ascii="Arial" w:hAnsi="Arial" w:cs="Arial"/>
          <w:color w:val="000000"/>
        </w:rPr>
        <w:t xml:space="preserve">would </w:t>
      </w:r>
      <w:r w:rsidR="00AF3CF1">
        <w:rPr>
          <w:rFonts w:ascii="Arial" w:hAnsi="Arial" w:cs="Arial"/>
          <w:color w:val="000000"/>
        </w:rPr>
        <w:t>delay their issuance while suitable agents</w:t>
      </w:r>
      <w:r w:rsidR="00902ED2">
        <w:rPr>
          <w:rFonts w:ascii="Arial" w:hAnsi="Arial" w:cs="Arial"/>
          <w:color w:val="000000"/>
        </w:rPr>
        <w:t xml:space="preserve"> and</w:t>
      </w:r>
      <w:r w:rsidR="00021E67">
        <w:rPr>
          <w:rFonts w:ascii="Arial" w:hAnsi="Arial" w:cs="Arial"/>
          <w:color w:val="000000"/>
        </w:rPr>
        <w:t>/</w:t>
      </w:r>
      <w:r w:rsidR="00902ED2">
        <w:rPr>
          <w:rFonts w:ascii="Arial" w:hAnsi="Arial" w:cs="Arial"/>
          <w:color w:val="000000"/>
        </w:rPr>
        <w:t>or registrations</w:t>
      </w:r>
      <w:r w:rsidR="00AF3CF1">
        <w:rPr>
          <w:rFonts w:ascii="Arial" w:hAnsi="Arial" w:cs="Arial"/>
          <w:color w:val="000000"/>
        </w:rPr>
        <w:t xml:space="preserve"> are sought.</w:t>
      </w:r>
    </w:p>
    <w:p w:rsidR="00E00938" w:rsidRPr="00E00938" w:rsidRDefault="00E00938" w:rsidP="00E00938">
      <w:pPr>
        <w:pStyle w:val="ListParagraph"/>
        <w:rPr>
          <w:rFonts w:ascii="Arial" w:hAnsi="Arial" w:cs="Arial"/>
          <w:color w:val="000000"/>
        </w:rPr>
      </w:pPr>
    </w:p>
    <w:p w:rsidR="00251E49" w:rsidRDefault="00AF3CF1" w:rsidP="00AF3CF1">
      <w:pPr>
        <w:pStyle w:val="ListParagraph"/>
        <w:numPr>
          <w:ilvl w:val="0"/>
          <w:numId w:val="22"/>
        </w:numPr>
        <w:rPr>
          <w:rFonts w:ascii="Arial" w:hAnsi="Arial" w:cs="Arial"/>
          <w:color w:val="000000"/>
        </w:rPr>
      </w:pPr>
      <w:r w:rsidRPr="00463BDA">
        <w:rPr>
          <w:rFonts w:ascii="Arial" w:hAnsi="Arial" w:cs="Arial"/>
          <w:color w:val="000000"/>
        </w:rPr>
        <w:t>Where foreign QPs are involved, they could reasonably expect their clients to handle finding and appointing agents in various Canadian jurisdictions.</w:t>
      </w:r>
      <w:r w:rsidR="00FE35A0">
        <w:rPr>
          <w:rFonts w:ascii="Arial" w:hAnsi="Arial" w:cs="Arial"/>
          <w:color w:val="000000"/>
        </w:rPr>
        <w:t xml:space="preserve">  </w:t>
      </w:r>
      <w:r w:rsidR="00402141" w:rsidRPr="00463BDA">
        <w:rPr>
          <w:rFonts w:ascii="Arial" w:hAnsi="Arial" w:cs="Arial"/>
          <w:color w:val="000000"/>
        </w:rPr>
        <w:t>In response com</w:t>
      </w:r>
      <w:r w:rsidRPr="00463BDA">
        <w:rPr>
          <w:rFonts w:ascii="Arial" w:hAnsi="Arial" w:cs="Arial"/>
          <w:color w:val="000000"/>
        </w:rPr>
        <w:t xml:space="preserve">panies could well decide </w:t>
      </w:r>
      <w:r w:rsidR="00402141" w:rsidRPr="00463BDA">
        <w:rPr>
          <w:rFonts w:ascii="Arial" w:hAnsi="Arial" w:cs="Arial"/>
          <w:color w:val="000000"/>
        </w:rPr>
        <w:t xml:space="preserve">it would simply be easier </w:t>
      </w:r>
      <w:r w:rsidRPr="00463BDA">
        <w:rPr>
          <w:rFonts w:ascii="Arial" w:hAnsi="Arial" w:cs="Arial"/>
          <w:color w:val="000000"/>
        </w:rPr>
        <w:t>to list and/or raise capital in other countries.</w:t>
      </w:r>
      <w:r w:rsidR="00FE35A0">
        <w:rPr>
          <w:rFonts w:ascii="Arial" w:hAnsi="Arial" w:cs="Arial"/>
          <w:color w:val="000000"/>
        </w:rPr>
        <w:t xml:space="preserve">  </w:t>
      </w:r>
      <w:r w:rsidRPr="00463BDA">
        <w:rPr>
          <w:rFonts w:ascii="Arial" w:hAnsi="Arial" w:cs="Arial"/>
          <w:color w:val="000000"/>
        </w:rPr>
        <w:t xml:space="preserve">The proposed requirements </w:t>
      </w:r>
      <w:r w:rsidR="00902ED2">
        <w:rPr>
          <w:rFonts w:ascii="Arial" w:hAnsi="Arial" w:cs="Arial"/>
          <w:color w:val="000000"/>
        </w:rPr>
        <w:t>could</w:t>
      </w:r>
      <w:r w:rsidRPr="00463BDA">
        <w:rPr>
          <w:rFonts w:ascii="Arial" w:hAnsi="Arial" w:cs="Arial"/>
          <w:color w:val="000000"/>
        </w:rPr>
        <w:t xml:space="preserve"> therefore reduce </w:t>
      </w:r>
      <w:r w:rsidR="00582CBA" w:rsidRPr="00463BDA">
        <w:rPr>
          <w:rFonts w:ascii="Arial" w:hAnsi="Arial" w:cs="Arial"/>
          <w:color w:val="000000"/>
        </w:rPr>
        <w:t>Canada’s</w:t>
      </w:r>
      <w:r w:rsidRPr="00463BDA">
        <w:rPr>
          <w:rFonts w:ascii="Arial" w:hAnsi="Arial" w:cs="Arial"/>
          <w:color w:val="000000"/>
        </w:rPr>
        <w:t xml:space="preserve"> competitiveness and leadership role </w:t>
      </w:r>
      <w:r w:rsidR="00463BDA" w:rsidRPr="00463BDA">
        <w:rPr>
          <w:rFonts w:ascii="Arial" w:hAnsi="Arial" w:cs="Arial"/>
          <w:color w:val="000000"/>
        </w:rPr>
        <w:t xml:space="preserve">as a favoured jurisdiction for mining companies to be listed and to raise capital for mining projects. </w:t>
      </w:r>
    </w:p>
    <w:p w:rsidR="001D3F52" w:rsidRPr="001D3F52" w:rsidRDefault="001D3F52" w:rsidP="001D3F52">
      <w:pPr>
        <w:pStyle w:val="ListParagraph"/>
        <w:rPr>
          <w:rFonts w:ascii="Arial" w:hAnsi="Arial" w:cs="Arial"/>
          <w:color w:val="000000"/>
        </w:rPr>
      </w:pPr>
    </w:p>
    <w:p w:rsidR="00AD53A2" w:rsidRDefault="00AF3CF1" w:rsidP="00B741DB">
      <w:pPr>
        <w:rPr>
          <w:rFonts w:ascii="Arial" w:hAnsi="Arial" w:cs="Arial"/>
          <w:color w:val="000000"/>
        </w:rPr>
      </w:pPr>
      <w:r>
        <w:rPr>
          <w:rFonts w:ascii="Arial" w:hAnsi="Arial" w:cs="Arial"/>
          <w:color w:val="000000"/>
        </w:rPr>
        <w:t xml:space="preserve">We strongly believe that the concept of the QP or Competent Person (CP) embodied in the family of CRIRSCO compliant codes </w:t>
      </w:r>
      <w:r w:rsidR="00E00938">
        <w:rPr>
          <w:rFonts w:ascii="Arial" w:hAnsi="Arial" w:cs="Arial"/>
          <w:color w:val="000000"/>
        </w:rPr>
        <w:t xml:space="preserve">provides a great deal of assurance that public disclosure will be transparent, material and accurate. All QPs/CPs must have </w:t>
      </w:r>
      <w:r w:rsidR="00902ED2">
        <w:rPr>
          <w:rFonts w:ascii="Arial" w:hAnsi="Arial" w:cs="Arial"/>
          <w:color w:val="000000"/>
        </w:rPr>
        <w:t xml:space="preserve">a university degree in geosciences or mining/metallurgical engineering and </w:t>
      </w:r>
      <w:r w:rsidR="00E00938">
        <w:rPr>
          <w:rFonts w:ascii="Arial" w:hAnsi="Arial" w:cs="Arial"/>
          <w:color w:val="000000"/>
        </w:rPr>
        <w:t>at least five years of relevant experience and</w:t>
      </w:r>
      <w:r w:rsidR="00402141">
        <w:rPr>
          <w:rFonts w:ascii="Arial" w:hAnsi="Arial" w:cs="Arial"/>
          <w:color w:val="000000"/>
        </w:rPr>
        <w:t xml:space="preserve"> must</w:t>
      </w:r>
      <w:r w:rsidR="00E00938">
        <w:rPr>
          <w:rFonts w:ascii="Arial" w:hAnsi="Arial" w:cs="Arial"/>
          <w:color w:val="000000"/>
        </w:rPr>
        <w:t xml:space="preserve"> be members of a professional association with disciplinary powers, including the power to expel a member.</w:t>
      </w:r>
      <w:r w:rsidR="00FE35A0">
        <w:rPr>
          <w:rFonts w:ascii="Arial" w:hAnsi="Arial" w:cs="Arial"/>
          <w:color w:val="000000"/>
        </w:rPr>
        <w:t xml:space="preserve">  </w:t>
      </w:r>
      <w:r w:rsidR="00582CBA">
        <w:rPr>
          <w:rFonts w:ascii="Arial" w:hAnsi="Arial" w:cs="Arial"/>
          <w:color w:val="000000"/>
        </w:rPr>
        <w:t xml:space="preserve">These </w:t>
      </w:r>
      <w:r w:rsidR="00FB1F29" w:rsidRPr="00BD4BB8">
        <w:rPr>
          <w:rFonts w:ascii="Arial" w:hAnsi="Arial" w:cs="Arial"/>
          <w:color w:val="000000"/>
        </w:rPr>
        <w:t>values and safeguards are designed to achieve (and in practice do achieve) a proper chain of accountability</w:t>
      </w:r>
      <w:r w:rsidR="00E00938">
        <w:rPr>
          <w:rFonts w:ascii="Arial" w:hAnsi="Arial" w:cs="Arial"/>
          <w:color w:val="000000"/>
        </w:rPr>
        <w:t>.</w:t>
      </w:r>
      <w:r w:rsidR="00FE35A0">
        <w:rPr>
          <w:rFonts w:ascii="Arial" w:hAnsi="Arial" w:cs="Arial"/>
          <w:color w:val="000000"/>
        </w:rPr>
        <w:t xml:space="preserve">  </w:t>
      </w:r>
      <w:r w:rsidR="00582CBA">
        <w:rPr>
          <w:rFonts w:ascii="Arial" w:hAnsi="Arial" w:cs="Arial"/>
          <w:color w:val="000000"/>
        </w:rPr>
        <w:t xml:space="preserve">Complaints against QPs are rare, and resort to legal action </w:t>
      </w:r>
      <w:r w:rsidR="00902ED2">
        <w:rPr>
          <w:rFonts w:ascii="Arial" w:hAnsi="Arial" w:cs="Arial"/>
          <w:color w:val="000000"/>
        </w:rPr>
        <w:t xml:space="preserve">is </w:t>
      </w:r>
      <w:r w:rsidR="00582CBA">
        <w:rPr>
          <w:rFonts w:ascii="Arial" w:hAnsi="Arial" w:cs="Arial"/>
          <w:color w:val="000000"/>
        </w:rPr>
        <w:t>even rarer.</w:t>
      </w:r>
      <w:r w:rsidR="00FE35A0">
        <w:rPr>
          <w:rFonts w:ascii="Arial" w:hAnsi="Arial" w:cs="Arial"/>
          <w:color w:val="000000"/>
        </w:rPr>
        <w:t xml:space="preserve">  </w:t>
      </w:r>
      <w:r w:rsidR="00E00938">
        <w:rPr>
          <w:rFonts w:ascii="Arial" w:hAnsi="Arial" w:cs="Arial"/>
          <w:color w:val="000000"/>
        </w:rPr>
        <w:t xml:space="preserve"> Given this, the benefits of finding and appointing agents in Canadian jurisdictions do not justify the costs </w:t>
      </w:r>
      <w:r w:rsidR="00582CBA">
        <w:rPr>
          <w:rFonts w:ascii="Arial" w:hAnsi="Arial" w:cs="Arial"/>
          <w:color w:val="000000"/>
        </w:rPr>
        <w:t>and may result in</w:t>
      </w:r>
      <w:r w:rsidR="00E00938">
        <w:rPr>
          <w:rFonts w:ascii="Arial" w:hAnsi="Arial" w:cs="Arial"/>
          <w:color w:val="000000"/>
        </w:rPr>
        <w:t xml:space="preserve"> unintended consequences</w:t>
      </w:r>
      <w:r w:rsidR="00463BDA">
        <w:rPr>
          <w:rFonts w:ascii="Arial" w:hAnsi="Arial" w:cs="Arial"/>
          <w:color w:val="000000"/>
        </w:rPr>
        <w:t xml:space="preserve"> detrimental to the Canadian capital markets</w:t>
      </w:r>
      <w:r w:rsidR="00E00938">
        <w:rPr>
          <w:rFonts w:ascii="Arial" w:hAnsi="Arial" w:cs="Arial"/>
          <w:color w:val="000000"/>
        </w:rPr>
        <w:t xml:space="preserve"> </w:t>
      </w:r>
      <w:r w:rsidR="00402141">
        <w:rPr>
          <w:rFonts w:ascii="Arial" w:hAnsi="Arial" w:cs="Arial"/>
          <w:color w:val="000000"/>
        </w:rPr>
        <w:t xml:space="preserve">as </w:t>
      </w:r>
      <w:r w:rsidR="00E00938">
        <w:rPr>
          <w:rFonts w:ascii="Arial" w:hAnsi="Arial" w:cs="Arial"/>
          <w:color w:val="000000"/>
        </w:rPr>
        <w:t>related above.</w:t>
      </w:r>
      <w:r w:rsidR="00FB1F29" w:rsidRPr="00BD4BB8">
        <w:rPr>
          <w:rFonts w:ascii="Arial" w:hAnsi="Arial" w:cs="Arial"/>
          <w:color w:val="000000"/>
        </w:rPr>
        <w:t xml:space="preserve"> </w:t>
      </w:r>
    </w:p>
    <w:p w:rsidR="00B741DB" w:rsidRPr="00BD4BB8" w:rsidRDefault="00B741DB" w:rsidP="00B741DB">
      <w:pPr>
        <w:rPr>
          <w:rFonts w:ascii="Arial" w:hAnsi="Arial" w:cs="Arial"/>
          <w:color w:val="000000"/>
        </w:rPr>
      </w:pPr>
    </w:p>
    <w:p w:rsidR="00B741DB" w:rsidRPr="00BD4BB8" w:rsidRDefault="00FB1F29" w:rsidP="00B741DB">
      <w:pPr>
        <w:rPr>
          <w:rFonts w:ascii="Arial" w:hAnsi="Arial" w:cs="Arial"/>
          <w:color w:val="000000"/>
        </w:rPr>
      </w:pPr>
      <w:r>
        <w:rPr>
          <w:rFonts w:ascii="Arial" w:hAnsi="Arial" w:cs="Arial"/>
          <w:color w:val="000000"/>
        </w:rPr>
        <w:t>The SME is a strong supporter of CRIRSCO’s efforts to bring consistency and stability within mining markets through promulgation of standard reporting practices</w:t>
      </w:r>
      <w:r w:rsidR="00582CBA">
        <w:rPr>
          <w:rFonts w:ascii="Arial" w:hAnsi="Arial" w:cs="Arial"/>
          <w:color w:val="000000"/>
        </w:rPr>
        <w:t xml:space="preserve"> for Exploration Information, Mineral Resources and Mineral Reserves</w:t>
      </w:r>
      <w:r>
        <w:rPr>
          <w:rFonts w:ascii="Arial" w:hAnsi="Arial" w:cs="Arial"/>
          <w:color w:val="000000"/>
        </w:rPr>
        <w:t>,</w:t>
      </w:r>
      <w:r w:rsidR="00582CBA">
        <w:rPr>
          <w:rFonts w:ascii="Arial" w:hAnsi="Arial" w:cs="Arial"/>
          <w:color w:val="000000"/>
        </w:rPr>
        <w:t xml:space="preserve"> using QPs that can freely practice within many countries.</w:t>
      </w:r>
      <w:r w:rsidR="00FE35A0">
        <w:rPr>
          <w:rFonts w:ascii="Arial" w:hAnsi="Arial" w:cs="Arial"/>
          <w:color w:val="000000"/>
        </w:rPr>
        <w:t xml:space="preserve">  </w:t>
      </w:r>
      <w:r w:rsidR="00E00938">
        <w:rPr>
          <w:rFonts w:ascii="Arial" w:hAnsi="Arial" w:cs="Arial"/>
          <w:color w:val="000000"/>
        </w:rPr>
        <w:t xml:space="preserve">The CSA’s </w:t>
      </w:r>
      <w:r w:rsidR="00E00938">
        <w:rPr>
          <w:rFonts w:ascii="Arial" w:hAnsi="Arial" w:cs="Arial"/>
          <w:color w:val="000000"/>
        </w:rPr>
        <w:lastRenderedPageBreak/>
        <w:t>proposed requirements</w:t>
      </w:r>
      <w:r w:rsidR="00B741DB" w:rsidRPr="00BD4BB8">
        <w:rPr>
          <w:rFonts w:ascii="Arial" w:hAnsi="Arial" w:cs="Arial"/>
          <w:color w:val="000000"/>
        </w:rPr>
        <w:t xml:space="preserve"> </w:t>
      </w:r>
      <w:r>
        <w:rPr>
          <w:rFonts w:ascii="Arial" w:hAnsi="Arial" w:cs="Arial"/>
          <w:color w:val="000000"/>
        </w:rPr>
        <w:t>could</w:t>
      </w:r>
      <w:r w:rsidR="00B741DB" w:rsidRPr="00BD4BB8">
        <w:rPr>
          <w:rFonts w:ascii="Arial" w:hAnsi="Arial" w:cs="Arial"/>
          <w:color w:val="000000"/>
        </w:rPr>
        <w:t xml:space="preserve"> likely result in retaliatory </w:t>
      </w:r>
      <w:r w:rsidR="00CC05B9" w:rsidRPr="00BD4BB8">
        <w:rPr>
          <w:rFonts w:ascii="Arial" w:hAnsi="Arial" w:cs="Arial"/>
          <w:color w:val="000000"/>
        </w:rPr>
        <w:t>regulations</w:t>
      </w:r>
      <w:r w:rsidR="00B741DB" w:rsidRPr="00BD4BB8">
        <w:rPr>
          <w:rFonts w:ascii="Arial" w:hAnsi="Arial" w:cs="Arial"/>
          <w:color w:val="000000"/>
        </w:rPr>
        <w:t xml:space="preserve"> elsewhere,</w:t>
      </w:r>
      <w:r w:rsidR="00FE35A0">
        <w:rPr>
          <w:rFonts w:ascii="Arial" w:hAnsi="Arial" w:cs="Arial"/>
          <w:color w:val="000000"/>
        </w:rPr>
        <w:t xml:space="preserve">  </w:t>
      </w:r>
      <w:r>
        <w:rPr>
          <w:rFonts w:ascii="Arial" w:hAnsi="Arial" w:cs="Arial"/>
          <w:color w:val="000000"/>
        </w:rPr>
        <w:t xml:space="preserve">further eroding the CRIRSCO </w:t>
      </w:r>
      <w:r w:rsidR="00E00938">
        <w:rPr>
          <w:rFonts w:ascii="Arial" w:hAnsi="Arial" w:cs="Arial"/>
          <w:color w:val="000000"/>
        </w:rPr>
        <w:t xml:space="preserve">reporting </w:t>
      </w:r>
      <w:r w:rsidR="00B741DB" w:rsidRPr="00BD4BB8">
        <w:rPr>
          <w:rFonts w:ascii="Arial" w:hAnsi="Arial" w:cs="Arial"/>
          <w:color w:val="000000"/>
        </w:rPr>
        <w:t>system</w:t>
      </w:r>
      <w:r>
        <w:rPr>
          <w:rFonts w:ascii="Arial" w:hAnsi="Arial" w:cs="Arial"/>
          <w:color w:val="000000"/>
        </w:rPr>
        <w:t xml:space="preserve">s in both countries with existing CRIRSCO codes and in emerging markets which are looking to CRIRSCO and its members </w:t>
      </w:r>
      <w:r w:rsidR="00902ED2">
        <w:rPr>
          <w:rFonts w:ascii="Arial" w:hAnsi="Arial" w:cs="Arial"/>
          <w:color w:val="000000"/>
        </w:rPr>
        <w:t xml:space="preserve">for assistance </w:t>
      </w:r>
      <w:r w:rsidR="00591BBE">
        <w:rPr>
          <w:rFonts w:ascii="Arial" w:hAnsi="Arial" w:cs="Arial"/>
          <w:color w:val="000000"/>
        </w:rPr>
        <w:t xml:space="preserve">in developing </w:t>
      </w:r>
      <w:r>
        <w:rPr>
          <w:rFonts w:ascii="Arial" w:hAnsi="Arial" w:cs="Arial"/>
          <w:color w:val="000000"/>
        </w:rPr>
        <w:t>their own reporting codes.</w:t>
      </w:r>
    </w:p>
    <w:p w:rsidR="00463BDA" w:rsidRDefault="00463BDA" w:rsidP="00463BDA">
      <w:pPr>
        <w:rPr>
          <w:rFonts w:ascii="Arial" w:hAnsi="Arial" w:cs="Arial"/>
          <w:b/>
          <w:color w:val="000000"/>
        </w:rPr>
      </w:pPr>
    </w:p>
    <w:p w:rsidR="00591BBE" w:rsidRDefault="00591BBE" w:rsidP="00463BDA">
      <w:pPr>
        <w:rPr>
          <w:rFonts w:ascii="Arial" w:hAnsi="Arial" w:cs="Arial"/>
          <w:b/>
          <w:color w:val="000000"/>
        </w:rPr>
      </w:pPr>
    </w:p>
    <w:p w:rsidR="00463BDA" w:rsidRDefault="00463BDA" w:rsidP="00463BDA">
      <w:pPr>
        <w:rPr>
          <w:rFonts w:ascii="Arial" w:hAnsi="Arial" w:cs="Arial"/>
          <w:b/>
          <w:color w:val="000000"/>
        </w:rPr>
      </w:pPr>
      <w:r>
        <w:rPr>
          <w:rFonts w:ascii="Arial" w:hAnsi="Arial" w:cs="Arial"/>
          <w:b/>
          <w:color w:val="000000"/>
        </w:rPr>
        <w:t>ANSWERS TO QUESTIONS POSED IN THE CSA REQUEST FOR COMMENTS</w:t>
      </w:r>
    </w:p>
    <w:p w:rsidR="00463BDA" w:rsidRPr="00F050F8" w:rsidRDefault="00463BDA" w:rsidP="00463BDA">
      <w:pPr>
        <w:rPr>
          <w:rFonts w:ascii="Arial" w:hAnsi="Arial" w:cs="Arial"/>
          <w:b/>
          <w:color w:val="000000"/>
        </w:rPr>
      </w:pPr>
    </w:p>
    <w:p w:rsidR="00463BDA" w:rsidRDefault="00463BDA" w:rsidP="00463BD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(a) Do you believe that it is appropriate to extend the requirement to file a non-</w:t>
      </w:r>
      <w:proofErr w:type="gramStart"/>
      <w:r>
        <w:rPr>
          <w:rFonts w:ascii="Times New Roman" w:eastAsia="Times New Roman" w:hAnsi="Times New Roman"/>
          <w:sz w:val="24"/>
          <w:szCs w:val="24"/>
        </w:rPr>
        <w:t>issuer’s</w:t>
      </w:r>
      <w:proofErr w:type="gramEnd"/>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submission</w:t>
      </w:r>
      <w:proofErr w:type="gramEnd"/>
      <w:r>
        <w:rPr>
          <w:rFonts w:ascii="Times New Roman" w:eastAsia="Times New Roman" w:hAnsi="Times New Roman"/>
          <w:sz w:val="24"/>
          <w:szCs w:val="24"/>
        </w:rPr>
        <w:t xml:space="preserve"> to the jurisdiction and appointment of an agent for service form to foreign</w:t>
      </w:r>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experts</w:t>
      </w:r>
      <w:proofErr w:type="gramEnd"/>
      <w:r>
        <w:rPr>
          <w:rFonts w:ascii="Times New Roman" w:eastAsia="Times New Roman" w:hAnsi="Times New Roman"/>
          <w:sz w:val="24"/>
          <w:szCs w:val="24"/>
        </w:rPr>
        <w:t xml:space="preserve"> who have consented to the disclosure in a prospectus of information from a</w:t>
      </w:r>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report</w:t>
      </w:r>
      <w:proofErr w:type="gramEnd"/>
      <w:r>
        <w:rPr>
          <w:rFonts w:ascii="Times New Roman" w:eastAsia="Times New Roman" w:hAnsi="Times New Roman"/>
          <w:sz w:val="24"/>
          <w:szCs w:val="24"/>
        </w:rPr>
        <w:t>, opinion or statement made by them given that these persons are liable under</w:t>
      </w:r>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our</w:t>
      </w:r>
      <w:proofErr w:type="gramEnd"/>
      <w:r>
        <w:rPr>
          <w:rFonts w:ascii="Times New Roman" w:eastAsia="Times New Roman" w:hAnsi="Times New Roman"/>
          <w:sz w:val="24"/>
          <w:szCs w:val="24"/>
        </w:rPr>
        <w:t xml:space="preserve"> statutory liability regime for misrepresentations in the prospectus that are derived</w:t>
      </w:r>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from</w:t>
      </w:r>
      <w:proofErr w:type="gramEnd"/>
      <w:r>
        <w:rPr>
          <w:rFonts w:ascii="Times New Roman" w:eastAsia="Times New Roman" w:hAnsi="Times New Roman"/>
          <w:sz w:val="24"/>
          <w:szCs w:val="24"/>
        </w:rPr>
        <w:t xml:space="preserve"> that report, opinion or statement? </w:t>
      </w:r>
    </w:p>
    <w:p w:rsidR="00463BDA" w:rsidRDefault="00463BDA" w:rsidP="00463BDA">
      <w:pPr>
        <w:autoSpaceDE w:val="0"/>
        <w:autoSpaceDN w:val="0"/>
        <w:adjustRightInd w:val="0"/>
        <w:rPr>
          <w:rFonts w:ascii="Times New Roman" w:eastAsia="Times New Roman" w:hAnsi="Times New Roman"/>
          <w:sz w:val="24"/>
          <w:szCs w:val="24"/>
        </w:rPr>
      </w:pPr>
    </w:p>
    <w:p w:rsidR="00463BDA" w:rsidRPr="00F050F8" w:rsidRDefault="00463BDA" w:rsidP="00463BDA">
      <w:pPr>
        <w:autoSpaceDE w:val="0"/>
        <w:autoSpaceDN w:val="0"/>
        <w:adjustRightInd w:val="0"/>
        <w:rPr>
          <w:rFonts w:ascii="Arial" w:eastAsia="Times New Roman" w:hAnsi="Arial" w:cs="Arial"/>
          <w:szCs w:val="24"/>
        </w:rPr>
      </w:pPr>
      <w:r w:rsidRPr="00F050F8">
        <w:rPr>
          <w:rFonts w:ascii="Arial" w:eastAsia="Times New Roman" w:hAnsi="Arial" w:cs="Arial"/>
          <w:b/>
          <w:szCs w:val="24"/>
        </w:rPr>
        <w:t>Answer:</w:t>
      </w:r>
      <w:r w:rsidRPr="00F050F8">
        <w:rPr>
          <w:rFonts w:ascii="Arial" w:eastAsia="Times New Roman" w:hAnsi="Arial" w:cs="Arial"/>
          <w:szCs w:val="24"/>
        </w:rPr>
        <w:t xml:space="preserve"> No we do not believe it is appropriate. Our reasoning is explained above.</w:t>
      </w:r>
    </w:p>
    <w:p w:rsidR="00463BDA" w:rsidRPr="00F050F8" w:rsidRDefault="00463BDA" w:rsidP="00463BDA">
      <w:pPr>
        <w:autoSpaceDE w:val="0"/>
        <w:autoSpaceDN w:val="0"/>
        <w:adjustRightInd w:val="0"/>
        <w:rPr>
          <w:rFonts w:ascii="Arial" w:eastAsia="Times New Roman" w:hAnsi="Arial" w:cs="Arial"/>
          <w:szCs w:val="24"/>
        </w:rPr>
      </w:pPr>
    </w:p>
    <w:p w:rsidR="00463BDA" w:rsidRDefault="00463BDA" w:rsidP="00463BD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(b) If foreign experts are required to file a non-issuers’ submission to the jurisdiction and</w:t>
      </w:r>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appointment</w:t>
      </w:r>
      <w:proofErr w:type="gramEnd"/>
      <w:r>
        <w:rPr>
          <w:rFonts w:ascii="Times New Roman" w:eastAsia="Times New Roman" w:hAnsi="Times New Roman"/>
          <w:sz w:val="24"/>
          <w:szCs w:val="24"/>
        </w:rPr>
        <w:t xml:space="preserve"> of an agent for service form, do you anticipate that this obligation will</w:t>
      </w:r>
    </w:p>
    <w:p w:rsidR="00463BDA" w:rsidRDefault="00463BDA" w:rsidP="00463BDA">
      <w:pPr>
        <w:autoSpaceDE w:val="0"/>
        <w:autoSpaceDN w:val="0"/>
        <w:adjustRightInd w:val="0"/>
        <w:rPr>
          <w:rFonts w:ascii="Times New Roman" w:eastAsia="Times New Roman" w:hAnsi="Times New Roman"/>
          <w:sz w:val="24"/>
          <w:szCs w:val="24"/>
        </w:rPr>
      </w:pPr>
      <w:proofErr w:type="gramStart"/>
      <w:r>
        <w:rPr>
          <w:rFonts w:ascii="Times New Roman" w:eastAsia="Times New Roman" w:hAnsi="Times New Roman"/>
          <w:sz w:val="24"/>
          <w:szCs w:val="24"/>
        </w:rPr>
        <w:t>impose</w:t>
      </w:r>
      <w:proofErr w:type="gramEnd"/>
      <w:r>
        <w:rPr>
          <w:rFonts w:ascii="Times New Roman" w:eastAsia="Times New Roman" w:hAnsi="Times New Roman"/>
          <w:sz w:val="24"/>
          <w:szCs w:val="24"/>
        </w:rPr>
        <w:t xml:space="preserve"> any significant practical or financial burden on these experts or issuers? </w:t>
      </w:r>
    </w:p>
    <w:p w:rsidR="00463BDA" w:rsidRDefault="00463BDA" w:rsidP="00463BDA">
      <w:pPr>
        <w:autoSpaceDE w:val="0"/>
        <w:autoSpaceDN w:val="0"/>
        <w:adjustRightInd w:val="0"/>
        <w:rPr>
          <w:rFonts w:ascii="Times New Roman" w:eastAsia="Times New Roman" w:hAnsi="Times New Roman"/>
          <w:sz w:val="24"/>
          <w:szCs w:val="24"/>
        </w:rPr>
      </w:pPr>
    </w:p>
    <w:p w:rsidR="00463BDA" w:rsidRPr="00F050F8" w:rsidRDefault="00463BDA" w:rsidP="00463BDA">
      <w:pPr>
        <w:autoSpaceDE w:val="0"/>
        <w:autoSpaceDN w:val="0"/>
        <w:adjustRightInd w:val="0"/>
        <w:rPr>
          <w:rFonts w:ascii="Arial" w:eastAsia="Times New Roman" w:hAnsi="Arial" w:cs="Arial"/>
          <w:szCs w:val="24"/>
        </w:rPr>
      </w:pPr>
      <w:r w:rsidRPr="00F050F8">
        <w:rPr>
          <w:rFonts w:ascii="Arial" w:eastAsia="Times New Roman" w:hAnsi="Arial" w:cs="Arial"/>
          <w:b/>
          <w:szCs w:val="24"/>
        </w:rPr>
        <w:t xml:space="preserve">Answer: </w:t>
      </w:r>
      <w:r w:rsidRPr="00F050F8">
        <w:rPr>
          <w:rFonts w:ascii="Arial" w:eastAsia="Times New Roman" w:hAnsi="Arial" w:cs="Arial"/>
          <w:szCs w:val="24"/>
        </w:rPr>
        <w:t xml:space="preserve">We believe the obligation will impose significant practical and financial burden on both the experts and the issuers employing the experts. Our reasoning for this is explained above. </w:t>
      </w:r>
    </w:p>
    <w:p w:rsidR="00463BDA" w:rsidRDefault="00463BDA" w:rsidP="00463BDA">
      <w:pPr>
        <w:autoSpaceDE w:val="0"/>
        <w:autoSpaceDN w:val="0"/>
        <w:adjustRightInd w:val="0"/>
        <w:rPr>
          <w:rFonts w:ascii="Times New Roman" w:eastAsia="Times New Roman" w:hAnsi="Times New Roman"/>
          <w:sz w:val="24"/>
          <w:szCs w:val="24"/>
        </w:rPr>
      </w:pPr>
    </w:p>
    <w:p w:rsidR="00463BDA" w:rsidRDefault="00463BDA" w:rsidP="00463BDA">
      <w:pPr>
        <w:autoSpaceDE w:val="0"/>
        <w:autoSpaceDN w:val="0"/>
        <w:adjustRightInd w:val="0"/>
        <w:rPr>
          <w:rFonts w:ascii="Times New Roman" w:eastAsia="Times New Roman" w:hAnsi="Times New Roman"/>
          <w:sz w:val="24"/>
          <w:szCs w:val="24"/>
        </w:rPr>
      </w:pPr>
      <w:r>
        <w:rPr>
          <w:rFonts w:ascii="Times New Roman" w:eastAsia="Times New Roman" w:hAnsi="Times New Roman"/>
          <w:sz w:val="24"/>
          <w:szCs w:val="24"/>
        </w:rPr>
        <w:t>Would your response change if the form requirement for foreign experts only concerned either submission to the jurisdiction or an appointment of an agent for service?</w:t>
      </w:r>
    </w:p>
    <w:p w:rsidR="00463BDA" w:rsidRDefault="00463BDA" w:rsidP="00463BDA">
      <w:pPr>
        <w:autoSpaceDE w:val="0"/>
        <w:autoSpaceDN w:val="0"/>
        <w:adjustRightInd w:val="0"/>
        <w:rPr>
          <w:rFonts w:ascii="Times New Roman" w:eastAsia="Times New Roman" w:hAnsi="Times New Roman"/>
          <w:sz w:val="24"/>
          <w:szCs w:val="24"/>
        </w:rPr>
      </w:pPr>
    </w:p>
    <w:p w:rsidR="00463BDA" w:rsidRPr="00F050F8" w:rsidRDefault="00463BDA" w:rsidP="00463BDA">
      <w:pPr>
        <w:autoSpaceDE w:val="0"/>
        <w:autoSpaceDN w:val="0"/>
        <w:adjustRightInd w:val="0"/>
        <w:rPr>
          <w:rFonts w:ascii="Arial" w:hAnsi="Arial" w:cs="Arial"/>
          <w:color w:val="000000"/>
          <w:sz w:val="20"/>
        </w:rPr>
      </w:pPr>
      <w:r w:rsidRPr="00F050F8">
        <w:rPr>
          <w:rFonts w:ascii="Arial" w:eastAsia="Times New Roman" w:hAnsi="Arial" w:cs="Arial"/>
          <w:b/>
          <w:szCs w:val="24"/>
        </w:rPr>
        <w:t>Answer:</w:t>
      </w:r>
      <w:r w:rsidR="00FE35A0">
        <w:rPr>
          <w:rFonts w:ascii="Arial" w:eastAsia="Times New Roman" w:hAnsi="Arial" w:cs="Arial"/>
          <w:b/>
          <w:szCs w:val="24"/>
        </w:rPr>
        <w:t xml:space="preserve">  </w:t>
      </w:r>
      <w:r w:rsidRPr="00F050F8">
        <w:rPr>
          <w:rFonts w:ascii="Arial" w:eastAsia="Times New Roman" w:hAnsi="Arial" w:cs="Arial"/>
          <w:szCs w:val="24"/>
        </w:rPr>
        <w:t>No it would not.</w:t>
      </w:r>
    </w:p>
    <w:p w:rsidR="00463BDA" w:rsidRDefault="00463BDA" w:rsidP="00F70F80">
      <w:pPr>
        <w:pStyle w:val="Heading3"/>
        <w:rPr>
          <w:rFonts w:ascii="Arial" w:hAnsi="Arial" w:cs="Arial"/>
          <w:color w:val="auto"/>
          <w:lang w:eastAsia="en-GB"/>
        </w:rPr>
      </w:pPr>
    </w:p>
    <w:p w:rsidR="00F70F80" w:rsidRPr="00E00938" w:rsidRDefault="00E00938" w:rsidP="00F70F80">
      <w:pPr>
        <w:pStyle w:val="Heading3"/>
        <w:rPr>
          <w:rFonts w:ascii="Arial" w:hAnsi="Arial" w:cs="Arial"/>
          <w:color w:val="auto"/>
          <w:lang w:eastAsia="en-GB"/>
        </w:rPr>
      </w:pPr>
      <w:r w:rsidRPr="00E00938">
        <w:rPr>
          <w:rFonts w:ascii="Arial" w:hAnsi="Arial" w:cs="Arial"/>
          <w:color w:val="auto"/>
          <w:lang w:eastAsia="en-GB"/>
        </w:rPr>
        <w:t>CONCLUSION</w:t>
      </w:r>
    </w:p>
    <w:p w:rsidR="00F70F80" w:rsidRPr="00F70F80" w:rsidRDefault="00F70F80" w:rsidP="00F70F80">
      <w:pPr>
        <w:rPr>
          <w:lang w:eastAsia="en-GB"/>
        </w:rPr>
      </w:pPr>
    </w:p>
    <w:p w:rsidR="00F70F80" w:rsidRDefault="00BD4BB8" w:rsidP="000A05FE">
      <w:pPr>
        <w:rPr>
          <w:rFonts w:ascii="Arial" w:hAnsi="Arial" w:cs="Arial"/>
          <w:color w:val="000000"/>
        </w:rPr>
      </w:pPr>
      <w:r w:rsidRPr="00BD4BB8">
        <w:rPr>
          <w:rFonts w:ascii="Arial" w:hAnsi="Arial" w:cs="Arial"/>
          <w:color w:val="000000"/>
        </w:rPr>
        <w:t xml:space="preserve">We </w:t>
      </w:r>
      <w:r w:rsidR="00402141">
        <w:rPr>
          <w:rFonts w:ascii="Arial" w:hAnsi="Arial" w:cs="Arial"/>
          <w:color w:val="000000"/>
        </w:rPr>
        <w:t>recommend</w:t>
      </w:r>
      <w:r w:rsidRPr="00BD4BB8">
        <w:rPr>
          <w:rFonts w:ascii="Arial" w:hAnsi="Arial" w:cs="Arial"/>
          <w:color w:val="000000"/>
        </w:rPr>
        <w:t xml:space="preserve"> that </w:t>
      </w:r>
      <w:r w:rsidR="00F70F80" w:rsidRPr="00BD4BB8">
        <w:rPr>
          <w:rFonts w:ascii="Arial" w:hAnsi="Arial" w:cs="Arial"/>
          <w:color w:val="000000"/>
        </w:rPr>
        <w:t>the</w:t>
      </w:r>
      <w:r w:rsidR="00A10331">
        <w:rPr>
          <w:rFonts w:ascii="Arial" w:hAnsi="Arial" w:cs="Arial"/>
          <w:color w:val="000000"/>
        </w:rPr>
        <w:t xml:space="preserve"> proposed requirement for submission of QPs and experts to jurisdiction and appointment of agents for service</w:t>
      </w:r>
      <w:r w:rsidR="00F70F80" w:rsidRPr="00BD4BB8">
        <w:rPr>
          <w:rFonts w:ascii="Arial" w:hAnsi="Arial" w:cs="Arial"/>
          <w:color w:val="000000"/>
        </w:rPr>
        <w:t xml:space="preserve"> </w:t>
      </w:r>
      <w:r w:rsidRPr="00BD4BB8">
        <w:rPr>
          <w:rFonts w:ascii="Arial" w:hAnsi="Arial" w:cs="Arial"/>
          <w:color w:val="000000"/>
        </w:rPr>
        <w:t xml:space="preserve">should not </w:t>
      </w:r>
      <w:r w:rsidR="00F70F80" w:rsidRPr="00BD4BB8">
        <w:rPr>
          <w:rFonts w:ascii="Arial" w:hAnsi="Arial" w:cs="Arial"/>
          <w:color w:val="000000"/>
        </w:rPr>
        <w:t>be enacted</w:t>
      </w:r>
      <w:r w:rsidR="00A10331">
        <w:rPr>
          <w:rFonts w:ascii="Arial" w:hAnsi="Arial" w:cs="Arial"/>
          <w:color w:val="000000"/>
        </w:rPr>
        <w:t>.</w:t>
      </w:r>
      <w:r w:rsidR="00F70F80" w:rsidRPr="00BD4BB8">
        <w:rPr>
          <w:rFonts w:ascii="Arial" w:hAnsi="Arial" w:cs="Arial"/>
          <w:color w:val="000000"/>
        </w:rPr>
        <w:t xml:space="preserve"> </w:t>
      </w:r>
    </w:p>
    <w:p w:rsidR="00A10331" w:rsidRDefault="00A10331" w:rsidP="000A05FE">
      <w:pPr>
        <w:rPr>
          <w:rFonts w:ascii="Arial" w:hAnsi="Arial" w:cs="Arial"/>
          <w:color w:val="000000"/>
        </w:rPr>
      </w:pPr>
    </w:p>
    <w:p w:rsidR="006C47CE" w:rsidRDefault="006C47CE" w:rsidP="000A05FE">
      <w:pPr>
        <w:rPr>
          <w:rFonts w:ascii="Arial" w:hAnsi="Arial" w:cs="Arial"/>
          <w:color w:val="000000"/>
        </w:rPr>
      </w:pPr>
    </w:p>
    <w:p w:rsidR="006C47CE" w:rsidRDefault="006C47CE" w:rsidP="000A05FE">
      <w:pPr>
        <w:rPr>
          <w:rFonts w:ascii="Arial" w:hAnsi="Arial" w:cs="Arial"/>
          <w:color w:val="000000"/>
        </w:rPr>
      </w:pPr>
      <w:r>
        <w:rPr>
          <w:rFonts w:ascii="Arial" w:hAnsi="Arial" w:cs="Arial"/>
          <w:noProof/>
          <w:color w:val="000000"/>
          <w:lang w:val="en-US"/>
        </w:rPr>
        <w:drawing>
          <wp:inline distT="0" distB="0" distL="0" distR="0" wp14:anchorId="4D59FD17" wp14:editId="104F460E">
            <wp:extent cx="1993504" cy="856034"/>
            <wp:effectExtent l="0" t="0" r="698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nagy-Dave.tif"/>
                    <pic:cNvPicPr/>
                  </pic:nvPicPr>
                  <pic:blipFill>
                    <a:blip r:embed="rId11">
                      <a:extLst>
                        <a:ext uri="{28A0092B-C50C-407E-A947-70E740481C1C}">
                          <a14:useLocalDpi xmlns:a14="http://schemas.microsoft.com/office/drawing/2010/main" val="0"/>
                        </a:ext>
                      </a:extLst>
                    </a:blip>
                    <a:stretch>
                      <a:fillRect/>
                    </a:stretch>
                  </pic:blipFill>
                  <pic:spPr>
                    <a:xfrm>
                      <a:off x="0" y="0"/>
                      <a:ext cx="1993005" cy="855820"/>
                    </a:xfrm>
                    <a:prstGeom prst="rect">
                      <a:avLst/>
                    </a:prstGeom>
                  </pic:spPr>
                </pic:pic>
              </a:graphicData>
            </a:graphic>
          </wp:inline>
        </w:drawing>
      </w:r>
    </w:p>
    <w:p w:rsidR="006C47CE" w:rsidRDefault="006C47CE" w:rsidP="000A05FE">
      <w:pPr>
        <w:rPr>
          <w:rFonts w:ascii="Arial" w:hAnsi="Arial" w:cs="Arial"/>
          <w:color w:val="000000"/>
        </w:rPr>
      </w:pPr>
    </w:p>
    <w:p w:rsidR="006C47CE" w:rsidRDefault="006C47CE" w:rsidP="000A05FE">
      <w:pPr>
        <w:rPr>
          <w:rFonts w:ascii="Arial" w:hAnsi="Arial" w:cs="Arial"/>
          <w:color w:val="000000"/>
        </w:rPr>
      </w:pPr>
    </w:p>
    <w:p w:rsidR="00F70F80" w:rsidRDefault="00BD4BB8" w:rsidP="000A05FE">
      <w:pPr>
        <w:rPr>
          <w:lang w:eastAsia="en-GB"/>
        </w:rPr>
      </w:pPr>
      <w:r>
        <w:rPr>
          <w:lang w:eastAsia="en-GB"/>
        </w:rPr>
        <w:t>David</w:t>
      </w:r>
      <w:r w:rsidR="008B4B88">
        <w:rPr>
          <w:lang w:eastAsia="en-GB"/>
        </w:rPr>
        <w:t xml:space="preserve"> L.</w:t>
      </w:r>
      <w:r>
        <w:rPr>
          <w:lang w:eastAsia="en-GB"/>
        </w:rPr>
        <w:t xml:space="preserve"> Kanagy</w:t>
      </w:r>
      <w:r w:rsidR="00F70F80">
        <w:rPr>
          <w:lang w:eastAsia="en-GB"/>
        </w:rPr>
        <w:t xml:space="preserve">, </w:t>
      </w:r>
      <w:r w:rsidR="008B4B88">
        <w:rPr>
          <w:lang w:eastAsia="en-GB"/>
        </w:rPr>
        <w:t>CAE</w:t>
      </w:r>
    </w:p>
    <w:p w:rsidR="00F70F80" w:rsidRDefault="00BD4BB8" w:rsidP="000A05FE">
      <w:pPr>
        <w:rPr>
          <w:lang w:eastAsia="en-GB"/>
        </w:rPr>
      </w:pPr>
      <w:r>
        <w:rPr>
          <w:lang w:eastAsia="en-GB"/>
        </w:rPr>
        <w:t>Executive Director, SME</w:t>
      </w:r>
    </w:p>
    <w:p w:rsidR="00F70F80" w:rsidRDefault="00F70F80" w:rsidP="000A05FE">
      <w:pPr>
        <w:rPr>
          <w:lang w:eastAsia="en-GB"/>
        </w:rPr>
      </w:pPr>
    </w:p>
    <w:p w:rsidR="00BD4BB8" w:rsidRDefault="008B4B88" w:rsidP="000A05FE">
      <w:pPr>
        <w:rPr>
          <w:lang w:eastAsia="en-GB"/>
        </w:rPr>
      </w:pPr>
      <w:r>
        <w:rPr>
          <w:lang w:eastAsia="en-GB"/>
        </w:rPr>
        <w:t xml:space="preserve">Cc: </w:t>
      </w:r>
      <w:r w:rsidR="00BD4BB8">
        <w:rPr>
          <w:lang w:eastAsia="en-GB"/>
        </w:rPr>
        <w:t>John Murphy,</w:t>
      </w:r>
      <w:r>
        <w:rPr>
          <w:lang w:eastAsia="en-GB"/>
        </w:rPr>
        <w:t xml:space="preserve"> 2011 </w:t>
      </w:r>
      <w:r w:rsidR="00BD4BB8">
        <w:rPr>
          <w:lang w:eastAsia="en-GB"/>
        </w:rPr>
        <w:t>SME</w:t>
      </w:r>
      <w:r>
        <w:rPr>
          <w:lang w:eastAsia="en-GB"/>
        </w:rPr>
        <w:t xml:space="preserve"> President</w:t>
      </w:r>
    </w:p>
    <w:p w:rsidR="00F70F80" w:rsidRPr="00F70F80" w:rsidRDefault="00F70F80" w:rsidP="000A05FE">
      <w:pPr>
        <w:rPr>
          <w:lang w:eastAsia="en-GB"/>
        </w:rPr>
      </w:pPr>
    </w:p>
    <w:sectPr w:rsidR="00F70F80" w:rsidRPr="00F70F80" w:rsidSect="006C47CE">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70DC" w:rsidRDefault="009F70DC" w:rsidP="00A2726E">
      <w:r>
        <w:separator/>
      </w:r>
    </w:p>
  </w:endnote>
  <w:endnote w:type="continuationSeparator" w:id="0">
    <w:p w:rsidR="009F70DC" w:rsidRDefault="009F70DC" w:rsidP="00A27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56CB" w:rsidRDefault="008756CB">
    <w:pPr>
      <w:pStyle w:val="Footer"/>
      <w:jc w:val="right"/>
    </w:pPr>
    <w:r>
      <w:t xml:space="preserve">Page </w:t>
    </w:r>
    <w:r w:rsidR="00A5261E">
      <w:rPr>
        <w:b/>
      </w:rPr>
      <w:fldChar w:fldCharType="begin"/>
    </w:r>
    <w:r>
      <w:rPr>
        <w:b/>
      </w:rPr>
      <w:instrText xml:space="preserve"> PAGE </w:instrText>
    </w:r>
    <w:r w:rsidR="00A5261E">
      <w:rPr>
        <w:b/>
      </w:rPr>
      <w:fldChar w:fldCharType="separate"/>
    </w:r>
    <w:r w:rsidR="00472C39">
      <w:rPr>
        <w:b/>
        <w:noProof/>
      </w:rPr>
      <w:t>1</w:t>
    </w:r>
    <w:r w:rsidR="00A5261E">
      <w:rPr>
        <w:b/>
      </w:rPr>
      <w:fldChar w:fldCharType="end"/>
    </w:r>
    <w:r>
      <w:t xml:space="preserve"> of </w:t>
    </w:r>
    <w:r w:rsidR="00A5261E">
      <w:rPr>
        <w:b/>
      </w:rPr>
      <w:fldChar w:fldCharType="begin"/>
    </w:r>
    <w:r>
      <w:rPr>
        <w:b/>
      </w:rPr>
      <w:instrText xml:space="preserve"> NUMPAGES  </w:instrText>
    </w:r>
    <w:r w:rsidR="00A5261E">
      <w:rPr>
        <w:b/>
      </w:rPr>
      <w:fldChar w:fldCharType="separate"/>
    </w:r>
    <w:r w:rsidR="00472C39">
      <w:rPr>
        <w:b/>
        <w:noProof/>
      </w:rPr>
      <w:t>3</w:t>
    </w:r>
    <w:r w:rsidR="00A5261E">
      <w:rPr>
        <w:b/>
      </w:rPr>
      <w:fldChar w:fldCharType="end"/>
    </w:r>
  </w:p>
  <w:p w:rsidR="008756CB" w:rsidRDefault="00875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70DC" w:rsidRDefault="009F70DC" w:rsidP="00A2726E">
      <w:r>
        <w:separator/>
      </w:r>
    </w:p>
  </w:footnote>
  <w:footnote w:type="continuationSeparator" w:id="0">
    <w:p w:rsidR="009F70DC" w:rsidRDefault="009F70DC" w:rsidP="00A272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6789"/>
    <w:multiLevelType w:val="hybridMultilevel"/>
    <w:tmpl w:val="6FDE2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9B5B60"/>
    <w:multiLevelType w:val="hybridMultilevel"/>
    <w:tmpl w:val="97FE5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FE872E8"/>
    <w:multiLevelType w:val="hybridMultilevel"/>
    <w:tmpl w:val="1C70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2520679"/>
    <w:multiLevelType w:val="hybridMultilevel"/>
    <w:tmpl w:val="07DCC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49E357A"/>
    <w:multiLevelType w:val="hybridMultilevel"/>
    <w:tmpl w:val="0354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4620335"/>
    <w:multiLevelType w:val="hybridMultilevel"/>
    <w:tmpl w:val="82209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9490295"/>
    <w:multiLevelType w:val="hybridMultilevel"/>
    <w:tmpl w:val="6FBC0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FF439D"/>
    <w:multiLevelType w:val="hybridMultilevel"/>
    <w:tmpl w:val="3AE0F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DC4517D"/>
    <w:multiLevelType w:val="hybridMultilevel"/>
    <w:tmpl w:val="C47C7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4A6D22"/>
    <w:multiLevelType w:val="hybridMultilevel"/>
    <w:tmpl w:val="0596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AE2488"/>
    <w:multiLevelType w:val="hybridMultilevel"/>
    <w:tmpl w:val="72046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9580180"/>
    <w:multiLevelType w:val="hybridMultilevel"/>
    <w:tmpl w:val="5ED0E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6F5D27"/>
    <w:multiLevelType w:val="hybridMultilevel"/>
    <w:tmpl w:val="D876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C727C8A"/>
    <w:multiLevelType w:val="hybridMultilevel"/>
    <w:tmpl w:val="24B0EF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9F31EB"/>
    <w:multiLevelType w:val="hybridMultilevel"/>
    <w:tmpl w:val="2540783C"/>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6752045"/>
    <w:multiLevelType w:val="hybridMultilevel"/>
    <w:tmpl w:val="4C586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9E59E7"/>
    <w:multiLevelType w:val="hybridMultilevel"/>
    <w:tmpl w:val="381C1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38869F3"/>
    <w:multiLevelType w:val="hybridMultilevel"/>
    <w:tmpl w:val="983816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773527C"/>
    <w:multiLevelType w:val="hybridMultilevel"/>
    <w:tmpl w:val="DF2EA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80F3498"/>
    <w:multiLevelType w:val="hybridMultilevel"/>
    <w:tmpl w:val="EC9E0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8F525AC"/>
    <w:multiLevelType w:val="hybridMultilevel"/>
    <w:tmpl w:val="FD683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CAA4D2C"/>
    <w:multiLevelType w:val="hybridMultilevel"/>
    <w:tmpl w:val="B608F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8"/>
  </w:num>
  <w:num w:numId="4">
    <w:abstractNumId w:val="1"/>
  </w:num>
  <w:num w:numId="5">
    <w:abstractNumId w:val="9"/>
  </w:num>
  <w:num w:numId="6">
    <w:abstractNumId w:val="13"/>
  </w:num>
  <w:num w:numId="7">
    <w:abstractNumId w:val="21"/>
  </w:num>
  <w:num w:numId="8">
    <w:abstractNumId w:val="8"/>
  </w:num>
  <w:num w:numId="9">
    <w:abstractNumId w:val="17"/>
  </w:num>
  <w:num w:numId="10">
    <w:abstractNumId w:val="15"/>
  </w:num>
  <w:num w:numId="11">
    <w:abstractNumId w:val="16"/>
  </w:num>
  <w:num w:numId="12">
    <w:abstractNumId w:val="19"/>
  </w:num>
  <w:num w:numId="13">
    <w:abstractNumId w:val="2"/>
  </w:num>
  <w:num w:numId="14">
    <w:abstractNumId w:val="3"/>
  </w:num>
  <w:num w:numId="15">
    <w:abstractNumId w:val="5"/>
  </w:num>
  <w:num w:numId="16">
    <w:abstractNumId w:val="14"/>
  </w:num>
  <w:num w:numId="17">
    <w:abstractNumId w:val="6"/>
  </w:num>
  <w:num w:numId="18">
    <w:abstractNumId w:val="12"/>
  </w:num>
  <w:num w:numId="19">
    <w:abstractNumId w:val="7"/>
  </w:num>
  <w:num w:numId="20">
    <w:abstractNumId w:val="11"/>
  </w:num>
  <w:num w:numId="21">
    <w:abstractNumId w:val="2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grammar="clean"/>
  <w:revisionView w:inkAnnotations="0"/>
  <w:doNotTrackFormatting/>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6E"/>
    <w:rsid w:val="00001821"/>
    <w:rsid w:val="00006641"/>
    <w:rsid w:val="000164B9"/>
    <w:rsid w:val="000167BD"/>
    <w:rsid w:val="00021E67"/>
    <w:rsid w:val="00023EA4"/>
    <w:rsid w:val="000376D2"/>
    <w:rsid w:val="00040FFA"/>
    <w:rsid w:val="00044C98"/>
    <w:rsid w:val="00085D6F"/>
    <w:rsid w:val="00091880"/>
    <w:rsid w:val="000966CA"/>
    <w:rsid w:val="000A05FE"/>
    <w:rsid w:val="000A240F"/>
    <w:rsid w:val="000A4B45"/>
    <w:rsid w:val="000A6462"/>
    <w:rsid w:val="000B0120"/>
    <w:rsid w:val="000B5003"/>
    <w:rsid w:val="000B50D5"/>
    <w:rsid w:val="000C4717"/>
    <w:rsid w:val="000C5C87"/>
    <w:rsid w:val="000C6656"/>
    <w:rsid w:val="000E31AC"/>
    <w:rsid w:val="000E4AD5"/>
    <w:rsid w:val="001220BC"/>
    <w:rsid w:val="00122A52"/>
    <w:rsid w:val="00124F9F"/>
    <w:rsid w:val="00125287"/>
    <w:rsid w:val="001268FD"/>
    <w:rsid w:val="0015607C"/>
    <w:rsid w:val="001809DC"/>
    <w:rsid w:val="00192827"/>
    <w:rsid w:val="001C2C6B"/>
    <w:rsid w:val="001C63F3"/>
    <w:rsid w:val="001D13E7"/>
    <w:rsid w:val="001D3F52"/>
    <w:rsid w:val="001D5FDF"/>
    <w:rsid w:val="001E3037"/>
    <w:rsid w:val="001F09F2"/>
    <w:rsid w:val="001F0A8B"/>
    <w:rsid w:val="001F2F59"/>
    <w:rsid w:val="001F5A9A"/>
    <w:rsid w:val="001F6CB4"/>
    <w:rsid w:val="00201042"/>
    <w:rsid w:val="0021297F"/>
    <w:rsid w:val="00223CFC"/>
    <w:rsid w:val="00251E49"/>
    <w:rsid w:val="00257588"/>
    <w:rsid w:val="00264FCF"/>
    <w:rsid w:val="00267730"/>
    <w:rsid w:val="002753D0"/>
    <w:rsid w:val="00286226"/>
    <w:rsid w:val="002866F0"/>
    <w:rsid w:val="00287F57"/>
    <w:rsid w:val="00296085"/>
    <w:rsid w:val="00296391"/>
    <w:rsid w:val="002C1FFA"/>
    <w:rsid w:val="002D0717"/>
    <w:rsid w:val="002D4127"/>
    <w:rsid w:val="002E763F"/>
    <w:rsid w:val="003339DA"/>
    <w:rsid w:val="00342B20"/>
    <w:rsid w:val="00346368"/>
    <w:rsid w:val="00354BB5"/>
    <w:rsid w:val="00355451"/>
    <w:rsid w:val="003571B8"/>
    <w:rsid w:val="00360A51"/>
    <w:rsid w:val="003731DF"/>
    <w:rsid w:val="00381613"/>
    <w:rsid w:val="00393715"/>
    <w:rsid w:val="003972D9"/>
    <w:rsid w:val="00397F6C"/>
    <w:rsid w:val="003A35EF"/>
    <w:rsid w:val="003B7DA1"/>
    <w:rsid w:val="003C0B69"/>
    <w:rsid w:val="003D0784"/>
    <w:rsid w:val="003D07B2"/>
    <w:rsid w:val="003D38D4"/>
    <w:rsid w:val="003E0912"/>
    <w:rsid w:val="003F2F49"/>
    <w:rsid w:val="003F6086"/>
    <w:rsid w:val="00402141"/>
    <w:rsid w:val="00417C99"/>
    <w:rsid w:val="004202BE"/>
    <w:rsid w:val="00424F39"/>
    <w:rsid w:val="00427EEA"/>
    <w:rsid w:val="00437EF2"/>
    <w:rsid w:val="00440CEE"/>
    <w:rsid w:val="00444C75"/>
    <w:rsid w:val="00463BDA"/>
    <w:rsid w:val="00472C39"/>
    <w:rsid w:val="00472D36"/>
    <w:rsid w:val="0048380D"/>
    <w:rsid w:val="00491BD7"/>
    <w:rsid w:val="004940FE"/>
    <w:rsid w:val="004A13DA"/>
    <w:rsid w:val="004A2F96"/>
    <w:rsid w:val="004A3CF2"/>
    <w:rsid w:val="004B752F"/>
    <w:rsid w:val="004C165D"/>
    <w:rsid w:val="004D10E6"/>
    <w:rsid w:val="004D537D"/>
    <w:rsid w:val="004D7940"/>
    <w:rsid w:val="0050248F"/>
    <w:rsid w:val="005129EA"/>
    <w:rsid w:val="00514DBF"/>
    <w:rsid w:val="00527E21"/>
    <w:rsid w:val="00543481"/>
    <w:rsid w:val="005438F2"/>
    <w:rsid w:val="00551356"/>
    <w:rsid w:val="0055223E"/>
    <w:rsid w:val="00552EFC"/>
    <w:rsid w:val="00557C48"/>
    <w:rsid w:val="0056769A"/>
    <w:rsid w:val="00581259"/>
    <w:rsid w:val="00582CBA"/>
    <w:rsid w:val="005867FE"/>
    <w:rsid w:val="00591BBE"/>
    <w:rsid w:val="00592C1C"/>
    <w:rsid w:val="005A59D1"/>
    <w:rsid w:val="005B1AF0"/>
    <w:rsid w:val="005B5140"/>
    <w:rsid w:val="005C2C35"/>
    <w:rsid w:val="005C4A9B"/>
    <w:rsid w:val="005D62F1"/>
    <w:rsid w:val="005F1E00"/>
    <w:rsid w:val="005F3F57"/>
    <w:rsid w:val="005F6447"/>
    <w:rsid w:val="0062737B"/>
    <w:rsid w:val="00673118"/>
    <w:rsid w:val="00675A17"/>
    <w:rsid w:val="0069362D"/>
    <w:rsid w:val="00695084"/>
    <w:rsid w:val="006A4328"/>
    <w:rsid w:val="006C47CE"/>
    <w:rsid w:val="006D2FCC"/>
    <w:rsid w:val="006D345A"/>
    <w:rsid w:val="006D75E9"/>
    <w:rsid w:val="006E78AA"/>
    <w:rsid w:val="00707800"/>
    <w:rsid w:val="00716EF8"/>
    <w:rsid w:val="00717C43"/>
    <w:rsid w:val="007208A8"/>
    <w:rsid w:val="00724F92"/>
    <w:rsid w:val="007339F5"/>
    <w:rsid w:val="0075174F"/>
    <w:rsid w:val="00752CCA"/>
    <w:rsid w:val="00753894"/>
    <w:rsid w:val="00755A77"/>
    <w:rsid w:val="007769D0"/>
    <w:rsid w:val="00783605"/>
    <w:rsid w:val="00784B0A"/>
    <w:rsid w:val="007B1D40"/>
    <w:rsid w:val="007B73C1"/>
    <w:rsid w:val="007E055D"/>
    <w:rsid w:val="007E40FE"/>
    <w:rsid w:val="007E43CC"/>
    <w:rsid w:val="007F5D69"/>
    <w:rsid w:val="007F7E3D"/>
    <w:rsid w:val="00801C20"/>
    <w:rsid w:val="00803244"/>
    <w:rsid w:val="008059B0"/>
    <w:rsid w:val="008174EE"/>
    <w:rsid w:val="008176B5"/>
    <w:rsid w:val="008268B9"/>
    <w:rsid w:val="008573AB"/>
    <w:rsid w:val="00866FCD"/>
    <w:rsid w:val="00875611"/>
    <w:rsid w:val="008756CB"/>
    <w:rsid w:val="008846B8"/>
    <w:rsid w:val="00891966"/>
    <w:rsid w:val="008A28FB"/>
    <w:rsid w:val="008B4B88"/>
    <w:rsid w:val="008C73A3"/>
    <w:rsid w:val="008D2CDE"/>
    <w:rsid w:val="008D674D"/>
    <w:rsid w:val="008D6E32"/>
    <w:rsid w:val="008E0E93"/>
    <w:rsid w:val="008E461D"/>
    <w:rsid w:val="008F15E1"/>
    <w:rsid w:val="00902ED2"/>
    <w:rsid w:val="009122C1"/>
    <w:rsid w:val="00925113"/>
    <w:rsid w:val="00954587"/>
    <w:rsid w:val="00961CC2"/>
    <w:rsid w:val="00964C5F"/>
    <w:rsid w:val="00966F8A"/>
    <w:rsid w:val="009701EE"/>
    <w:rsid w:val="00970C3E"/>
    <w:rsid w:val="00970EB1"/>
    <w:rsid w:val="00975828"/>
    <w:rsid w:val="00976ECE"/>
    <w:rsid w:val="0098657F"/>
    <w:rsid w:val="0099118A"/>
    <w:rsid w:val="00991EBC"/>
    <w:rsid w:val="009B41A9"/>
    <w:rsid w:val="009B5BEF"/>
    <w:rsid w:val="009C377B"/>
    <w:rsid w:val="009D3920"/>
    <w:rsid w:val="009F3A0B"/>
    <w:rsid w:val="009F70DC"/>
    <w:rsid w:val="00A02600"/>
    <w:rsid w:val="00A0341C"/>
    <w:rsid w:val="00A037A9"/>
    <w:rsid w:val="00A05F8B"/>
    <w:rsid w:val="00A10331"/>
    <w:rsid w:val="00A26B0E"/>
    <w:rsid w:val="00A2708E"/>
    <w:rsid w:val="00A2726E"/>
    <w:rsid w:val="00A34143"/>
    <w:rsid w:val="00A3548D"/>
    <w:rsid w:val="00A4127D"/>
    <w:rsid w:val="00A5261E"/>
    <w:rsid w:val="00A57FB2"/>
    <w:rsid w:val="00A73329"/>
    <w:rsid w:val="00A733E3"/>
    <w:rsid w:val="00A8037B"/>
    <w:rsid w:val="00A84A1F"/>
    <w:rsid w:val="00A93BA3"/>
    <w:rsid w:val="00A943F5"/>
    <w:rsid w:val="00AB0203"/>
    <w:rsid w:val="00AD53A2"/>
    <w:rsid w:val="00AE4F14"/>
    <w:rsid w:val="00AE61E0"/>
    <w:rsid w:val="00AF3284"/>
    <w:rsid w:val="00AF3CF1"/>
    <w:rsid w:val="00AF59EF"/>
    <w:rsid w:val="00AF5BA8"/>
    <w:rsid w:val="00B02EB6"/>
    <w:rsid w:val="00B03297"/>
    <w:rsid w:val="00B06A94"/>
    <w:rsid w:val="00B06D55"/>
    <w:rsid w:val="00B125C2"/>
    <w:rsid w:val="00B2401A"/>
    <w:rsid w:val="00B30621"/>
    <w:rsid w:val="00B31F62"/>
    <w:rsid w:val="00B46E9A"/>
    <w:rsid w:val="00B6060D"/>
    <w:rsid w:val="00B65152"/>
    <w:rsid w:val="00B65D46"/>
    <w:rsid w:val="00B70104"/>
    <w:rsid w:val="00B741DB"/>
    <w:rsid w:val="00B85A5C"/>
    <w:rsid w:val="00B8631B"/>
    <w:rsid w:val="00BB1379"/>
    <w:rsid w:val="00BB30EC"/>
    <w:rsid w:val="00BC4947"/>
    <w:rsid w:val="00BD4BB8"/>
    <w:rsid w:val="00BF44B0"/>
    <w:rsid w:val="00C01D6D"/>
    <w:rsid w:val="00C0691B"/>
    <w:rsid w:val="00C25193"/>
    <w:rsid w:val="00C439F6"/>
    <w:rsid w:val="00C55EC5"/>
    <w:rsid w:val="00C63567"/>
    <w:rsid w:val="00C67CEE"/>
    <w:rsid w:val="00C75DDB"/>
    <w:rsid w:val="00C9236F"/>
    <w:rsid w:val="00C9777A"/>
    <w:rsid w:val="00CC05B9"/>
    <w:rsid w:val="00CC53CC"/>
    <w:rsid w:val="00CD3535"/>
    <w:rsid w:val="00CD7A04"/>
    <w:rsid w:val="00CE0A23"/>
    <w:rsid w:val="00CF38AE"/>
    <w:rsid w:val="00D008BC"/>
    <w:rsid w:val="00D0392C"/>
    <w:rsid w:val="00D043C7"/>
    <w:rsid w:val="00D10AAD"/>
    <w:rsid w:val="00D130F3"/>
    <w:rsid w:val="00D13B58"/>
    <w:rsid w:val="00D310CD"/>
    <w:rsid w:val="00D35BDF"/>
    <w:rsid w:val="00D57B7C"/>
    <w:rsid w:val="00D60EAF"/>
    <w:rsid w:val="00D617CC"/>
    <w:rsid w:val="00D87BE7"/>
    <w:rsid w:val="00DC3974"/>
    <w:rsid w:val="00DC61C8"/>
    <w:rsid w:val="00E00938"/>
    <w:rsid w:val="00E016FF"/>
    <w:rsid w:val="00E05851"/>
    <w:rsid w:val="00E14A06"/>
    <w:rsid w:val="00E14D62"/>
    <w:rsid w:val="00E30D6F"/>
    <w:rsid w:val="00E42B01"/>
    <w:rsid w:val="00E44801"/>
    <w:rsid w:val="00E61C0C"/>
    <w:rsid w:val="00E63449"/>
    <w:rsid w:val="00E66A62"/>
    <w:rsid w:val="00E679DE"/>
    <w:rsid w:val="00E7376C"/>
    <w:rsid w:val="00E8274A"/>
    <w:rsid w:val="00E82F4F"/>
    <w:rsid w:val="00E92AE9"/>
    <w:rsid w:val="00EA2869"/>
    <w:rsid w:val="00EA2E03"/>
    <w:rsid w:val="00EA47ED"/>
    <w:rsid w:val="00EC680C"/>
    <w:rsid w:val="00EC7F50"/>
    <w:rsid w:val="00ED7CA5"/>
    <w:rsid w:val="00EE2BDE"/>
    <w:rsid w:val="00EF557D"/>
    <w:rsid w:val="00EF5E84"/>
    <w:rsid w:val="00F116CA"/>
    <w:rsid w:val="00F12A92"/>
    <w:rsid w:val="00F156A5"/>
    <w:rsid w:val="00F23FEA"/>
    <w:rsid w:val="00F315D3"/>
    <w:rsid w:val="00F41F50"/>
    <w:rsid w:val="00F432E3"/>
    <w:rsid w:val="00F47000"/>
    <w:rsid w:val="00F4792E"/>
    <w:rsid w:val="00F54973"/>
    <w:rsid w:val="00F63F72"/>
    <w:rsid w:val="00F701CA"/>
    <w:rsid w:val="00F70F80"/>
    <w:rsid w:val="00F86B62"/>
    <w:rsid w:val="00F92415"/>
    <w:rsid w:val="00FA463F"/>
    <w:rsid w:val="00FA6257"/>
    <w:rsid w:val="00FB1F29"/>
    <w:rsid w:val="00FD3ADD"/>
    <w:rsid w:val="00FD465E"/>
    <w:rsid w:val="00FE2D9D"/>
    <w:rsid w:val="00FE35A0"/>
    <w:rsid w:val="00FF084E"/>
    <w:rsid w:val="00FF69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C0B69"/>
    <w:rPr>
      <w:sz w:val="22"/>
      <w:szCs w:val="22"/>
      <w:lang w:eastAsia="en-US"/>
    </w:rPr>
  </w:style>
  <w:style w:type="paragraph" w:styleId="Heading1">
    <w:name w:val="heading 1"/>
    <w:basedOn w:val="Normal"/>
    <w:next w:val="Normal"/>
    <w:link w:val="Heading1Char"/>
    <w:uiPriority w:val="9"/>
    <w:qFormat/>
    <w:rsid w:val="005B1AF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B1AF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7F7E3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7F7E3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B1AF0"/>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
    <w:locked/>
    <w:rsid w:val="005B1AF0"/>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
    <w:locked/>
    <w:rsid w:val="007F7E3D"/>
    <w:rPr>
      <w:rFonts w:ascii="Cambria" w:hAnsi="Cambria" w:cs="Times New Roman"/>
      <w:b/>
      <w:bCs/>
      <w:color w:val="4F81BD"/>
      <w:sz w:val="22"/>
      <w:szCs w:val="22"/>
      <w:lang w:eastAsia="en-US"/>
    </w:rPr>
  </w:style>
  <w:style w:type="character" w:customStyle="1" w:styleId="Heading4Char">
    <w:name w:val="Heading 4 Char"/>
    <w:basedOn w:val="DefaultParagraphFont"/>
    <w:link w:val="Heading4"/>
    <w:uiPriority w:val="9"/>
    <w:locked/>
    <w:rsid w:val="007F7E3D"/>
    <w:rPr>
      <w:rFonts w:ascii="Cambria" w:hAnsi="Cambria" w:cs="Times New Roman"/>
      <w:b/>
      <w:bCs/>
      <w:i/>
      <w:iCs/>
      <w:color w:val="4F81BD"/>
      <w:sz w:val="22"/>
      <w:szCs w:val="22"/>
      <w:lang w:eastAsia="en-US"/>
    </w:rPr>
  </w:style>
  <w:style w:type="paragraph" w:styleId="BalloonText">
    <w:name w:val="Balloon Text"/>
    <w:basedOn w:val="Normal"/>
    <w:link w:val="BalloonTextChar"/>
    <w:uiPriority w:val="99"/>
    <w:semiHidden/>
    <w:rsid w:val="00A2726E"/>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26E"/>
    <w:rPr>
      <w:rFonts w:ascii="Tahoma" w:hAnsi="Tahoma" w:cs="Tahoma"/>
      <w:sz w:val="16"/>
      <w:szCs w:val="16"/>
    </w:rPr>
  </w:style>
  <w:style w:type="paragraph" w:styleId="Header">
    <w:name w:val="header"/>
    <w:basedOn w:val="Normal"/>
    <w:link w:val="HeaderChar"/>
    <w:uiPriority w:val="99"/>
    <w:semiHidden/>
    <w:rsid w:val="00A2726E"/>
    <w:pPr>
      <w:tabs>
        <w:tab w:val="center" w:pos="4513"/>
        <w:tab w:val="right" w:pos="9026"/>
      </w:tabs>
      <w:jc w:val="both"/>
    </w:pPr>
  </w:style>
  <w:style w:type="character" w:customStyle="1" w:styleId="HeaderChar">
    <w:name w:val="Header Char"/>
    <w:basedOn w:val="DefaultParagraphFont"/>
    <w:link w:val="Header"/>
    <w:uiPriority w:val="99"/>
    <w:semiHidden/>
    <w:locked/>
    <w:rsid w:val="00A2726E"/>
    <w:rPr>
      <w:rFonts w:cs="Times New Roman"/>
    </w:rPr>
  </w:style>
  <w:style w:type="paragraph" w:styleId="Footer">
    <w:name w:val="footer"/>
    <w:basedOn w:val="Normal"/>
    <w:link w:val="FooterChar"/>
    <w:uiPriority w:val="99"/>
    <w:rsid w:val="00A2726E"/>
    <w:pPr>
      <w:tabs>
        <w:tab w:val="center" w:pos="4513"/>
        <w:tab w:val="right" w:pos="9026"/>
      </w:tabs>
      <w:jc w:val="both"/>
    </w:pPr>
  </w:style>
  <w:style w:type="character" w:customStyle="1" w:styleId="FooterChar">
    <w:name w:val="Footer Char"/>
    <w:basedOn w:val="DefaultParagraphFont"/>
    <w:link w:val="Footer"/>
    <w:uiPriority w:val="99"/>
    <w:locked/>
    <w:rsid w:val="00A2726E"/>
    <w:rPr>
      <w:rFonts w:cs="Times New Roman"/>
    </w:rPr>
  </w:style>
  <w:style w:type="paragraph" w:customStyle="1" w:styleId="Default">
    <w:name w:val="Default"/>
    <w:rsid w:val="005B1AF0"/>
    <w:pPr>
      <w:autoSpaceDE w:val="0"/>
      <w:autoSpaceDN w:val="0"/>
      <w:adjustRightInd w:val="0"/>
    </w:pPr>
    <w:rPr>
      <w:rFonts w:ascii="Century Schoolbook" w:hAnsi="Century Schoolbook" w:cs="Century Schoolbook"/>
      <w:color w:val="000000"/>
      <w:sz w:val="24"/>
      <w:szCs w:val="24"/>
    </w:rPr>
  </w:style>
  <w:style w:type="paragraph" w:styleId="ListParagraph">
    <w:name w:val="List Paragraph"/>
    <w:basedOn w:val="Normal"/>
    <w:uiPriority w:val="34"/>
    <w:qFormat/>
    <w:rsid w:val="00716EF8"/>
    <w:pPr>
      <w:ind w:left="720"/>
      <w:contextualSpacing/>
    </w:pPr>
  </w:style>
  <w:style w:type="paragraph" w:styleId="TOCHeading">
    <w:name w:val="TOC Heading"/>
    <w:basedOn w:val="Heading1"/>
    <w:next w:val="Normal"/>
    <w:uiPriority w:val="39"/>
    <w:qFormat/>
    <w:rsid w:val="008268B9"/>
    <w:pPr>
      <w:spacing w:line="276" w:lineRule="auto"/>
      <w:outlineLvl w:val="9"/>
    </w:pPr>
    <w:rPr>
      <w:lang w:val="en-US"/>
    </w:rPr>
  </w:style>
  <w:style w:type="paragraph" w:styleId="TOC1">
    <w:name w:val="toc 1"/>
    <w:basedOn w:val="Normal"/>
    <w:next w:val="Normal"/>
    <w:autoRedefine/>
    <w:uiPriority w:val="39"/>
    <w:rsid w:val="008268B9"/>
    <w:pPr>
      <w:spacing w:after="100"/>
    </w:pPr>
  </w:style>
  <w:style w:type="paragraph" w:styleId="TOC2">
    <w:name w:val="toc 2"/>
    <w:basedOn w:val="Normal"/>
    <w:next w:val="Normal"/>
    <w:autoRedefine/>
    <w:uiPriority w:val="39"/>
    <w:rsid w:val="008268B9"/>
    <w:pPr>
      <w:spacing w:after="100"/>
      <w:ind w:left="220"/>
    </w:pPr>
  </w:style>
  <w:style w:type="character" w:styleId="Hyperlink">
    <w:name w:val="Hyperlink"/>
    <w:basedOn w:val="DefaultParagraphFont"/>
    <w:uiPriority w:val="99"/>
    <w:rsid w:val="008268B9"/>
    <w:rPr>
      <w:rFonts w:cs="Times New Roman"/>
      <w:color w:val="0000FF"/>
      <w:u w:val="single"/>
    </w:rPr>
  </w:style>
  <w:style w:type="paragraph" w:styleId="TOC3">
    <w:name w:val="toc 3"/>
    <w:basedOn w:val="Normal"/>
    <w:next w:val="Normal"/>
    <w:autoRedefine/>
    <w:uiPriority w:val="39"/>
    <w:rsid w:val="008A28FB"/>
    <w:pPr>
      <w:tabs>
        <w:tab w:val="right" w:leader="dot" w:pos="9016"/>
      </w:tabs>
      <w:ind w:left="442"/>
      <w:contextualSpacing/>
    </w:pPr>
  </w:style>
  <w:style w:type="paragraph" w:styleId="Caption">
    <w:name w:val="caption"/>
    <w:basedOn w:val="Normal"/>
    <w:next w:val="Normal"/>
    <w:qFormat/>
    <w:rsid w:val="008D2CDE"/>
    <w:rPr>
      <w:rFonts w:ascii="Times New Roman" w:eastAsia="Times New Roman" w:hAnsi="Times New Roman"/>
      <w:b/>
      <w:bCs/>
      <w:sz w:val="20"/>
      <w:szCs w:val="20"/>
    </w:rPr>
  </w:style>
  <w:style w:type="character" w:styleId="CommentReference">
    <w:name w:val="annotation reference"/>
    <w:basedOn w:val="DefaultParagraphFont"/>
    <w:semiHidden/>
    <w:rsid w:val="005B5140"/>
    <w:rPr>
      <w:rFonts w:cs="Times New Roman"/>
      <w:sz w:val="16"/>
      <w:szCs w:val="16"/>
    </w:rPr>
  </w:style>
  <w:style w:type="paragraph" w:styleId="CommentText">
    <w:name w:val="annotation text"/>
    <w:basedOn w:val="Normal"/>
    <w:link w:val="CommentTextChar"/>
    <w:semiHidden/>
    <w:rsid w:val="005B5140"/>
    <w:rPr>
      <w:sz w:val="20"/>
      <w:szCs w:val="20"/>
    </w:rPr>
  </w:style>
  <w:style w:type="character" w:customStyle="1" w:styleId="CommentTextChar">
    <w:name w:val="Comment Text Char"/>
    <w:basedOn w:val="DefaultParagraphFont"/>
    <w:link w:val="CommentText"/>
    <w:uiPriority w:val="99"/>
    <w:semiHidden/>
    <w:locked/>
    <w:rsid w:val="0069362D"/>
    <w:rPr>
      <w:rFonts w:cs="Times New Roman"/>
      <w:sz w:val="20"/>
      <w:szCs w:val="20"/>
      <w:lang w:val="en-GB"/>
    </w:rPr>
  </w:style>
  <w:style w:type="paragraph" w:styleId="CommentSubject">
    <w:name w:val="annotation subject"/>
    <w:basedOn w:val="CommentText"/>
    <w:next w:val="CommentText"/>
    <w:link w:val="CommentSubjectChar"/>
    <w:uiPriority w:val="99"/>
    <w:semiHidden/>
    <w:rsid w:val="005B5140"/>
    <w:rPr>
      <w:b/>
      <w:bCs/>
    </w:rPr>
  </w:style>
  <w:style w:type="character" w:customStyle="1" w:styleId="CommentSubjectChar">
    <w:name w:val="Comment Subject Char"/>
    <w:basedOn w:val="CommentTextChar"/>
    <w:link w:val="CommentSubject"/>
    <w:uiPriority w:val="99"/>
    <w:semiHidden/>
    <w:locked/>
    <w:rsid w:val="0069362D"/>
    <w:rPr>
      <w:rFonts w:cs="Times New Roman"/>
      <w:b/>
      <w:bCs/>
      <w:sz w:val="20"/>
      <w:szCs w:val="20"/>
      <w:lang w:val="en-GB"/>
    </w:rPr>
  </w:style>
  <w:style w:type="paragraph" w:styleId="Revision">
    <w:name w:val="Revision"/>
    <w:hidden/>
    <w:uiPriority w:val="99"/>
    <w:semiHidden/>
    <w:rsid w:val="00EA2E03"/>
    <w:rPr>
      <w:sz w:val="22"/>
      <w:szCs w:val="22"/>
      <w:lang w:eastAsia="en-US"/>
    </w:rPr>
  </w:style>
  <w:style w:type="paragraph" w:styleId="PlainText">
    <w:name w:val="Plain Text"/>
    <w:basedOn w:val="Normal"/>
    <w:link w:val="PlainTextChar"/>
    <w:uiPriority w:val="99"/>
    <w:unhideWhenUsed/>
    <w:rsid w:val="00354BB5"/>
    <w:rPr>
      <w:rFonts w:ascii="Consolas" w:hAnsi="Consolas"/>
      <w:sz w:val="21"/>
      <w:szCs w:val="21"/>
    </w:rPr>
  </w:style>
  <w:style w:type="character" w:customStyle="1" w:styleId="PlainTextChar">
    <w:name w:val="Plain Text Char"/>
    <w:basedOn w:val="DefaultParagraphFont"/>
    <w:link w:val="PlainText"/>
    <w:uiPriority w:val="99"/>
    <w:rsid w:val="00354BB5"/>
    <w:rPr>
      <w:rFonts w:ascii="Consolas" w:eastAsia="Calibri" w:hAnsi="Consolas" w:cs="Times New Roman"/>
      <w:sz w:val="21"/>
      <w:szCs w:val="21"/>
      <w:lang w:val="en-GB"/>
    </w:rPr>
  </w:style>
  <w:style w:type="paragraph" w:styleId="FootnoteText">
    <w:name w:val="footnote text"/>
    <w:basedOn w:val="Normal"/>
    <w:link w:val="FootnoteTextChar"/>
    <w:uiPriority w:val="99"/>
    <w:semiHidden/>
    <w:unhideWhenUsed/>
    <w:rsid w:val="008176B5"/>
    <w:rPr>
      <w:sz w:val="20"/>
      <w:szCs w:val="20"/>
    </w:rPr>
  </w:style>
  <w:style w:type="character" w:customStyle="1" w:styleId="FootnoteTextChar">
    <w:name w:val="Footnote Text Char"/>
    <w:basedOn w:val="DefaultParagraphFont"/>
    <w:link w:val="FootnoteText"/>
    <w:uiPriority w:val="99"/>
    <w:semiHidden/>
    <w:rsid w:val="008176B5"/>
    <w:rPr>
      <w:sz w:val="20"/>
      <w:szCs w:val="20"/>
      <w:lang w:val="en-GB"/>
    </w:rPr>
  </w:style>
  <w:style w:type="character" w:styleId="FootnoteReference">
    <w:name w:val="footnote reference"/>
    <w:basedOn w:val="DefaultParagraphFont"/>
    <w:uiPriority w:val="99"/>
    <w:semiHidden/>
    <w:unhideWhenUsed/>
    <w:rsid w:val="008176B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caption" w:locked="1" w:semiHidden="0" w:uiPriority="0" w:unhideWhenUsed="0" w:qFormat="1"/>
    <w:lsdException w:name="annotation reference" w:uiPriority="0"/>
    <w:lsdException w:name="Title" w:locked="1" w:semiHidden="0" w:uiPriority="0" w:unhideWhenUsed="0" w:qFormat="1"/>
    <w:lsdException w:name="Default Paragraph Font" w:locked="1" w:semiHidden="0" w:uiPriority="1"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3C0B69"/>
    <w:rPr>
      <w:sz w:val="22"/>
      <w:szCs w:val="22"/>
      <w:lang w:eastAsia="en-US"/>
    </w:rPr>
  </w:style>
  <w:style w:type="paragraph" w:styleId="Heading1">
    <w:name w:val="heading 1"/>
    <w:basedOn w:val="Normal"/>
    <w:next w:val="Normal"/>
    <w:link w:val="Heading1Char"/>
    <w:uiPriority w:val="9"/>
    <w:qFormat/>
    <w:rsid w:val="005B1AF0"/>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5B1AF0"/>
    <w:pPr>
      <w:keepNext/>
      <w:keepLines/>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7F7E3D"/>
    <w:pPr>
      <w:keepNext/>
      <w:keepLines/>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7F7E3D"/>
    <w:pPr>
      <w:keepNext/>
      <w:keepLines/>
      <w:spacing w:before="20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B1AF0"/>
    <w:rPr>
      <w:rFonts w:ascii="Cambria" w:hAnsi="Cambria" w:cs="Times New Roman"/>
      <w:b/>
      <w:bCs/>
      <w:color w:val="365F91"/>
      <w:sz w:val="28"/>
      <w:szCs w:val="28"/>
      <w:lang w:eastAsia="en-US"/>
    </w:rPr>
  </w:style>
  <w:style w:type="character" w:customStyle="1" w:styleId="Heading2Char">
    <w:name w:val="Heading 2 Char"/>
    <w:basedOn w:val="DefaultParagraphFont"/>
    <w:link w:val="Heading2"/>
    <w:uiPriority w:val="9"/>
    <w:locked/>
    <w:rsid w:val="005B1AF0"/>
    <w:rPr>
      <w:rFonts w:ascii="Cambria" w:hAnsi="Cambria" w:cs="Times New Roman"/>
      <w:b/>
      <w:bCs/>
      <w:color w:val="4F81BD"/>
      <w:sz w:val="26"/>
      <w:szCs w:val="26"/>
      <w:lang w:eastAsia="en-US"/>
    </w:rPr>
  </w:style>
  <w:style w:type="character" w:customStyle="1" w:styleId="Heading3Char">
    <w:name w:val="Heading 3 Char"/>
    <w:basedOn w:val="DefaultParagraphFont"/>
    <w:link w:val="Heading3"/>
    <w:uiPriority w:val="9"/>
    <w:locked/>
    <w:rsid w:val="007F7E3D"/>
    <w:rPr>
      <w:rFonts w:ascii="Cambria" w:hAnsi="Cambria" w:cs="Times New Roman"/>
      <w:b/>
      <w:bCs/>
      <w:color w:val="4F81BD"/>
      <w:sz w:val="22"/>
      <w:szCs w:val="22"/>
      <w:lang w:eastAsia="en-US"/>
    </w:rPr>
  </w:style>
  <w:style w:type="character" w:customStyle="1" w:styleId="Heading4Char">
    <w:name w:val="Heading 4 Char"/>
    <w:basedOn w:val="DefaultParagraphFont"/>
    <w:link w:val="Heading4"/>
    <w:uiPriority w:val="9"/>
    <w:locked/>
    <w:rsid w:val="007F7E3D"/>
    <w:rPr>
      <w:rFonts w:ascii="Cambria" w:hAnsi="Cambria" w:cs="Times New Roman"/>
      <w:b/>
      <w:bCs/>
      <w:i/>
      <w:iCs/>
      <w:color w:val="4F81BD"/>
      <w:sz w:val="22"/>
      <w:szCs w:val="22"/>
      <w:lang w:eastAsia="en-US"/>
    </w:rPr>
  </w:style>
  <w:style w:type="paragraph" w:styleId="BalloonText">
    <w:name w:val="Balloon Text"/>
    <w:basedOn w:val="Normal"/>
    <w:link w:val="BalloonTextChar"/>
    <w:uiPriority w:val="99"/>
    <w:semiHidden/>
    <w:rsid w:val="00A2726E"/>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2726E"/>
    <w:rPr>
      <w:rFonts w:ascii="Tahoma" w:hAnsi="Tahoma" w:cs="Tahoma"/>
      <w:sz w:val="16"/>
      <w:szCs w:val="16"/>
    </w:rPr>
  </w:style>
  <w:style w:type="paragraph" w:styleId="Header">
    <w:name w:val="header"/>
    <w:basedOn w:val="Normal"/>
    <w:link w:val="HeaderChar"/>
    <w:uiPriority w:val="99"/>
    <w:semiHidden/>
    <w:rsid w:val="00A2726E"/>
    <w:pPr>
      <w:tabs>
        <w:tab w:val="center" w:pos="4513"/>
        <w:tab w:val="right" w:pos="9026"/>
      </w:tabs>
      <w:jc w:val="both"/>
    </w:pPr>
  </w:style>
  <w:style w:type="character" w:customStyle="1" w:styleId="HeaderChar">
    <w:name w:val="Header Char"/>
    <w:basedOn w:val="DefaultParagraphFont"/>
    <w:link w:val="Header"/>
    <w:uiPriority w:val="99"/>
    <w:semiHidden/>
    <w:locked/>
    <w:rsid w:val="00A2726E"/>
    <w:rPr>
      <w:rFonts w:cs="Times New Roman"/>
    </w:rPr>
  </w:style>
  <w:style w:type="paragraph" w:styleId="Footer">
    <w:name w:val="footer"/>
    <w:basedOn w:val="Normal"/>
    <w:link w:val="FooterChar"/>
    <w:uiPriority w:val="99"/>
    <w:rsid w:val="00A2726E"/>
    <w:pPr>
      <w:tabs>
        <w:tab w:val="center" w:pos="4513"/>
        <w:tab w:val="right" w:pos="9026"/>
      </w:tabs>
      <w:jc w:val="both"/>
    </w:pPr>
  </w:style>
  <w:style w:type="character" w:customStyle="1" w:styleId="FooterChar">
    <w:name w:val="Footer Char"/>
    <w:basedOn w:val="DefaultParagraphFont"/>
    <w:link w:val="Footer"/>
    <w:uiPriority w:val="99"/>
    <w:locked/>
    <w:rsid w:val="00A2726E"/>
    <w:rPr>
      <w:rFonts w:cs="Times New Roman"/>
    </w:rPr>
  </w:style>
  <w:style w:type="paragraph" w:customStyle="1" w:styleId="Default">
    <w:name w:val="Default"/>
    <w:rsid w:val="005B1AF0"/>
    <w:pPr>
      <w:autoSpaceDE w:val="0"/>
      <w:autoSpaceDN w:val="0"/>
      <w:adjustRightInd w:val="0"/>
    </w:pPr>
    <w:rPr>
      <w:rFonts w:ascii="Century Schoolbook" w:hAnsi="Century Schoolbook" w:cs="Century Schoolbook"/>
      <w:color w:val="000000"/>
      <w:sz w:val="24"/>
      <w:szCs w:val="24"/>
    </w:rPr>
  </w:style>
  <w:style w:type="paragraph" w:styleId="ListParagraph">
    <w:name w:val="List Paragraph"/>
    <w:basedOn w:val="Normal"/>
    <w:uiPriority w:val="34"/>
    <w:qFormat/>
    <w:rsid w:val="00716EF8"/>
    <w:pPr>
      <w:ind w:left="720"/>
      <w:contextualSpacing/>
    </w:pPr>
  </w:style>
  <w:style w:type="paragraph" w:styleId="TOCHeading">
    <w:name w:val="TOC Heading"/>
    <w:basedOn w:val="Heading1"/>
    <w:next w:val="Normal"/>
    <w:uiPriority w:val="39"/>
    <w:qFormat/>
    <w:rsid w:val="008268B9"/>
    <w:pPr>
      <w:spacing w:line="276" w:lineRule="auto"/>
      <w:outlineLvl w:val="9"/>
    </w:pPr>
    <w:rPr>
      <w:lang w:val="en-US"/>
    </w:rPr>
  </w:style>
  <w:style w:type="paragraph" w:styleId="TOC1">
    <w:name w:val="toc 1"/>
    <w:basedOn w:val="Normal"/>
    <w:next w:val="Normal"/>
    <w:autoRedefine/>
    <w:uiPriority w:val="39"/>
    <w:rsid w:val="008268B9"/>
    <w:pPr>
      <w:spacing w:after="100"/>
    </w:pPr>
  </w:style>
  <w:style w:type="paragraph" w:styleId="TOC2">
    <w:name w:val="toc 2"/>
    <w:basedOn w:val="Normal"/>
    <w:next w:val="Normal"/>
    <w:autoRedefine/>
    <w:uiPriority w:val="39"/>
    <w:rsid w:val="008268B9"/>
    <w:pPr>
      <w:spacing w:after="100"/>
      <w:ind w:left="220"/>
    </w:pPr>
  </w:style>
  <w:style w:type="character" w:styleId="Hyperlink">
    <w:name w:val="Hyperlink"/>
    <w:basedOn w:val="DefaultParagraphFont"/>
    <w:uiPriority w:val="99"/>
    <w:rsid w:val="008268B9"/>
    <w:rPr>
      <w:rFonts w:cs="Times New Roman"/>
      <w:color w:val="0000FF"/>
      <w:u w:val="single"/>
    </w:rPr>
  </w:style>
  <w:style w:type="paragraph" w:styleId="TOC3">
    <w:name w:val="toc 3"/>
    <w:basedOn w:val="Normal"/>
    <w:next w:val="Normal"/>
    <w:autoRedefine/>
    <w:uiPriority w:val="39"/>
    <w:rsid w:val="008A28FB"/>
    <w:pPr>
      <w:tabs>
        <w:tab w:val="right" w:leader="dot" w:pos="9016"/>
      </w:tabs>
      <w:ind w:left="442"/>
      <w:contextualSpacing/>
    </w:pPr>
  </w:style>
  <w:style w:type="paragraph" w:styleId="Caption">
    <w:name w:val="caption"/>
    <w:basedOn w:val="Normal"/>
    <w:next w:val="Normal"/>
    <w:qFormat/>
    <w:rsid w:val="008D2CDE"/>
    <w:rPr>
      <w:rFonts w:ascii="Times New Roman" w:eastAsia="Times New Roman" w:hAnsi="Times New Roman"/>
      <w:b/>
      <w:bCs/>
      <w:sz w:val="20"/>
      <w:szCs w:val="20"/>
    </w:rPr>
  </w:style>
  <w:style w:type="character" w:styleId="CommentReference">
    <w:name w:val="annotation reference"/>
    <w:basedOn w:val="DefaultParagraphFont"/>
    <w:semiHidden/>
    <w:rsid w:val="005B5140"/>
    <w:rPr>
      <w:rFonts w:cs="Times New Roman"/>
      <w:sz w:val="16"/>
      <w:szCs w:val="16"/>
    </w:rPr>
  </w:style>
  <w:style w:type="paragraph" w:styleId="CommentText">
    <w:name w:val="annotation text"/>
    <w:basedOn w:val="Normal"/>
    <w:link w:val="CommentTextChar"/>
    <w:semiHidden/>
    <w:rsid w:val="005B5140"/>
    <w:rPr>
      <w:sz w:val="20"/>
      <w:szCs w:val="20"/>
    </w:rPr>
  </w:style>
  <w:style w:type="character" w:customStyle="1" w:styleId="CommentTextChar">
    <w:name w:val="Comment Text Char"/>
    <w:basedOn w:val="DefaultParagraphFont"/>
    <w:link w:val="CommentText"/>
    <w:uiPriority w:val="99"/>
    <w:semiHidden/>
    <w:locked/>
    <w:rsid w:val="0069362D"/>
    <w:rPr>
      <w:rFonts w:cs="Times New Roman"/>
      <w:sz w:val="20"/>
      <w:szCs w:val="20"/>
      <w:lang w:val="en-GB"/>
    </w:rPr>
  </w:style>
  <w:style w:type="paragraph" w:styleId="CommentSubject">
    <w:name w:val="annotation subject"/>
    <w:basedOn w:val="CommentText"/>
    <w:next w:val="CommentText"/>
    <w:link w:val="CommentSubjectChar"/>
    <w:uiPriority w:val="99"/>
    <w:semiHidden/>
    <w:rsid w:val="005B5140"/>
    <w:rPr>
      <w:b/>
      <w:bCs/>
    </w:rPr>
  </w:style>
  <w:style w:type="character" w:customStyle="1" w:styleId="CommentSubjectChar">
    <w:name w:val="Comment Subject Char"/>
    <w:basedOn w:val="CommentTextChar"/>
    <w:link w:val="CommentSubject"/>
    <w:uiPriority w:val="99"/>
    <w:semiHidden/>
    <w:locked/>
    <w:rsid w:val="0069362D"/>
    <w:rPr>
      <w:rFonts w:cs="Times New Roman"/>
      <w:b/>
      <w:bCs/>
      <w:sz w:val="20"/>
      <w:szCs w:val="20"/>
      <w:lang w:val="en-GB"/>
    </w:rPr>
  </w:style>
  <w:style w:type="paragraph" w:styleId="Revision">
    <w:name w:val="Revision"/>
    <w:hidden/>
    <w:uiPriority w:val="99"/>
    <w:semiHidden/>
    <w:rsid w:val="00EA2E03"/>
    <w:rPr>
      <w:sz w:val="22"/>
      <w:szCs w:val="22"/>
      <w:lang w:eastAsia="en-US"/>
    </w:rPr>
  </w:style>
  <w:style w:type="paragraph" w:styleId="PlainText">
    <w:name w:val="Plain Text"/>
    <w:basedOn w:val="Normal"/>
    <w:link w:val="PlainTextChar"/>
    <w:uiPriority w:val="99"/>
    <w:unhideWhenUsed/>
    <w:rsid w:val="00354BB5"/>
    <w:rPr>
      <w:rFonts w:ascii="Consolas" w:hAnsi="Consolas"/>
      <w:sz w:val="21"/>
      <w:szCs w:val="21"/>
    </w:rPr>
  </w:style>
  <w:style w:type="character" w:customStyle="1" w:styleId="PlainTextChar">
    <w:name w:val="Plain Text Char"/>
    <w:basedOn w:val="DefaultParagraphFont"/>
    <w:link w:val="PlainText"/>
    <w:uiPriority w:val="99"/>
    <w:rsid w:val="00354BB5"/>
    <w:rPr>
      <w:rFonts w:ascii="Consolas" w:eastAsia="Calibri" w:hAnsi="Consolas" w:cs="Times New Roman"/>
      <w:sz w:val="21"/>
      <w:szCs w:val="21"/>
      <w:lang w:val="en-GB"/>
    </w:rPr>
  </w:style>
  <w:style w:type="paragraph" w:styleId="FootnoteText">
    <w:name w:val="footnote text"/>
    <w:basedOn w:val="Normal"/>
    <w:link w:val="FootnoteTextChar"/>
    <w:uiPriority w:val="99"/>
    <w:semiHidden/>
    <w:unhideWhenUsed/>
    <w:rsid w:val="008176B5"/>
    <w:rPr>
      <w:sz w:val="20"/>
      <w:szCs w:val="20"/>
    </w:rPr>
  </w:style>
  <w:style w:type="character" w:customStyle="1" w:styleId="FootnoteTextChar">
    <w:name w:val="Footnote Text Char"/>
    <w:basedOn w:val="DefaultParagraphFont"/>
    <w:link w:val="FootnoteText"/>
    <w:uiPriority w:val="99"/>
    <w:semiHidden/>
    <w:rsid w:val="008176B5"/>
    <w:rPr>
      <w:sz w:val="20"/>
      <w:szCs w:val="20"/>
      <w:lang w:val="en-GB"/>
    </w:rPr>
  </w:style>
  <w:style w:type="character" w:styleId="FootnoteReference">
    <w:name w:val="footnote reference"/>
    <w:basedOn w:val="DefaultParagraphFont"/>
    <w:uiPriority w:val="99"/>
    <w:semiHidden/>
    <w:unhideWhenUsed/>
    <w:rsid w:val="008176B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272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tif"/><Relationship Id="rId5" Type="http://schemas.microsoft.com/office/2007/relationships/stylesWithEffects" Target="stylesWithEffects.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26464-2C7E-4452-A53F-C18F120704B3}">
  <ds:schemaRefs>
    <ds:schemaRef ds:uri="http://schemas.openxmlformats.org/officeDocument/2006/bibliography"/>
  </ds:schemaRefs>
</ds:datastoreItem>
</file>

<file path=customXml/itemProps2.xml><?xml version="1.0" encoding="utf-8"?>
<ds:datastoreItem xmlns:ds="http://schemas.openxmlformats.org/officeDocument/2006/customXml" ds:itemID="{C46CA520-04E7-4B8C-9D46-D6323504C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7254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SUBMISSION TO CESR BY PERC</vt:lpstr>
    </vt:vector>
  </TitlesOfParts>
  <Company>Resources Computing International Ltd</Company>
  <LinksUpToDate>false</LinksUpToDate>
  <CharactersWithSpaces>8462</CharactersWithSpaces>
  <SharedDoc>false</SharedDoc>
  <HLinks>
    <vt:vector size="216" baseType="variant">
      <vt:variant>
        <vt:i4>1114169</vt:i4>
      </vt:variant>
      <vt:variant>
        <vt:i4>212</vt:i4>
      </vt:variant>
      <vt:variant>
        <vt:i4>0</vt:i4>
      </vt:variant>
      <vt:variant>
        <vt:i4>5</vt:i4>
      </vt:variant>
      <vt:variant>
        <vt:lpwstr/>
      </vt:variant>
      <vt:variant>
        <vt:lpwstr>_Toc265395767</vt:lpwstr>
      </vt:variant>
      <vt:variant>
        <vt:i4>1114169</vt:i4>
      </vt:variant>
      <vt:variant>
        <vt:i4>206</vt:i4>
      </vt:variant>
      <vt:variant>
        <vt:i4>0</vt:i4>
      </vt:variant>
      <vt:variant>
        <vt:i4>5</vt:i4>
      </vt:variant>
      <vt:variant>
        <vt:lpwstr/>
      </vt:variant>
      <vt:variant>
        <vt:lpwstr>_Toc265395766</vt:lpwstr>
      </vt:variant>
      <vt:variant>
        <vt:i4>1114169</vt:i4>
      </vt:variant>
      <vt:variant>
        <vt:i4>200</vt:i4>
      </vt:variant>
      <vt:variant>
        <vt:i4>0</vt:i4>
      </vt:variant>
      <vt:variant>
        <vt:i4>5</vt:i4>
      </vt:variant>
      <vt:variant>
        <vt:lpwstr/>
      </vt:variant>
      <vt:variant>
        <vt:lpwstr>_Toc265395765</vt:lpwstr>
      </vt:variant>
      <vt:variant>
        <vt:i4>1114169</vt:i4>
      </vt:variant>
      <vt:variant>
        <vt:i4>194</vt:i4>
      </vt:variant>
      <vt:variant>
        <vt:i4>0</vt:i4>
      </vt:variant>
      <vt:variant>
        <vt:i4>5</vt:i4>
      </vt:variant>
      <vt:variant>
        <vt:lpwstr/>
      </vt:variant>
      <vt:variant>
        <vt:lpwstr>_Toc265395764</vt:lpwstr>
      </vt:variant>
      <vt:variant>
        <vt:i4>1114169</vt:i4>
      </vt:variant>
      <vt:variant>
        <vt:i4>188</vt:i4>
      </vt:variant>
      <vt:variant>
        <vt:i4>0</vt:i4>
      </vt:variant>
      <vt:variant>
        <vt:i4>5</vt:i4>
      </vt:variant>
      <vt:variant>
        <vt:lpwstr/>
      </vt:variant>
      <vt:variant>
        <vt:lpwstr>_Toc265395763</vt:lpwstr>
      </vt:variant>
      <vt:variant>
        <vt:i4>1114169</vt:i4>
      </vt:variant>
      <vt:variant>
        <vt:i4>182</vt:i4>
      </vt:variant>
      <vt:variant>
        <vt:i4>0</vt:i4>
      </vt:variant>
      <vt:variant>
        <vt:i4>5</vt:i4>
      </vt:variant>
      <vt:variant>
        <vt:lpwstr/>
      </vt:variant>
      <vt:variant>
        <vt:lpwstr>_Toc265395762</vt:lpwstr>
      </vt:variant>
      <vt:variant>
        <vt:i4>1114169</vt:i4>
      </vt:variant>
      <vt:variant>
        <vt:i4>176</vt:i4>
      </vt:variant>
      <vt:variant>
        <vt:i4>0</vt:i4>
      </vt:variant>
      <vt:variant>
        <vt:i4>5</vt:i4>
      </vt:variant>
      <vt:variant>
        <vt:lpwstr/>
      </vt:variant>
      <vt:variant>
        <vt:lpwstr>_Toc265395761</vt:lpwstr>
      </vt:variant>
      <vt:variant>
        <vt:i4>1114169</vt:i4>
      </vt:variant>
      <vt:variant>
        <vt:i4>170</vt:i4>
      </vt:variant>
      <vt:variant>
        <vt:i4>0</vt:i4>
      </vt:variant>
      <vt:variant>
        <vt:i4>5</vt:i4>
      </vt:variant>
      <vt:variant>
        <vt:lpwstr/>
      </vt:variant>
      <vt:variant>
        <vt:lpwstr>_Toc265395760</vt:lpwstr>
      </vt:variant>
      <vt:variant>
        <vt:i4>1179705</vt:i4>
      </vt:variant>
      <vt:variant>
        <vt:i4>164</vt:i4>
      </vt:variant>
      <vt:variant>
        <vt:i4>0</vt:i4>
      </vt:variant>
      <vt:variant>
        <vt:i4>5</vt:i4>
      </vt:variant>
      <vt:variant>
        <vt:lpwstr/>
      </vt:variant>
      <vt:variant>
        <vt:lpwstr>_Toc265395759</vt:lpwstr>
      </vt:variant>
      <vt:variant>
        <vt:i4>1179705</vt:i4>
      </vt:variant>
      <vt:variant>
        <vt:i4>158</vt:i4>
      </vt:variant>
      <vt:variant>
        <vt:i4>0</vt:i4>
      </vt:variant>
      <vt:variant>
        <vt:i4>5</vt:i4>
      </vt:variant>
      <vt:variant>
        <vt:lpwstr/>
      </vt:variant>
      <vt:variant>
        <vt:lpwstr>_Toc265395758</vt:lpwstr>
      </vt:variant>
      <vt:variant>
        <vt:i4>1179705</vt:i4>
      </vt:variant>
      <vt:variant>
        <vt:i4>152</vt:i4>
      </vt:variant>
      <vt:variant>
        <vt:i4>0</vt:i4>
      </vt:variant>
      <vt:variant>
        <vt:i4>5</vt:i4>
      </vt:variant>
      <vt:variant>
        <vt:lpwstr/>
      </vt:variant>
      <vt:variant>
        <vt:lpwstr>_Toc265395757</vt:lpwstr>
      </vt:variant>
      <vt:variant>
        <vt:i4>1179705</vt:i4>
      </vt:variant>
      <vt:variant>
        <vt:i4>146</vt:i4>
      </vt:variant>
      <vt:variant>
        <vt:i4>0</vt:i4>
      </vt:variant>
      <vt:variant>
        <vt:i4>5</vt:i4>
      </vt:variant>
      <vt:variant>
        <vt:lpwstr/>
      </vt:variant>
      <vt:variant>
        <vt:lpwstr>_Toc265395756</vt:lpwstr>
      </vt:variant>
      <vt:variant>
        <vt:i4>1179705</vt:i4>
      </vt:variant>
      <vt:variant>
        <vt:i4>140</vt:i4>
      </vt:variant>
      <vt:variant>
        <vt:i4>0</vt:i4>
      </vt:variant>
      <vt:variant>
        <vt:i4>5</vt:i4>
      </vt:variant>
      <vt:variant>
        <vt:lpwstr/>
      </vt:variant>
      <vt:variant>
        <vt:lpwstr>_Toc265395755</vt:lpwstr>
      </vt:variant>
      <vt:variant>
        <vt:i4>1179705</vt:i4>
      </vt:variant>
      <vt:variant>
        <vt:i4>134</vt:i4>
      </vt:variant>
      <vt:variant>
        <vt:i4>0</vt:i4>
      </vt:variant>
      <vt:variant>
        <vt:i4>5</vt:i4>
      </vt:variant>
      <vt:variant>
        <vt:lpwstr/>
      </vt:variant>
      <vt:variant>
        <vt:lpwstr>_Toc265395754</vt:lpwstr>
      </vt:variant>
      <vt:variant>
        <vt:i4>1179705</vt:i4>
      </vt:variant>
      <vt:variant>
        <vt:i4>128</vt:i4>
      </vt:variant>
      <vt:variant>
        <vt:i4>0</vt:i4>
      </vt:variant>
      <vt:variant>
        <vt:i4>5</vt:i4>
      </vt:variant>
      <vt:variant>
        <vt:lpwstr/>
      </vt:variant>
      <vt:variant>
        <vt:lpwstr>_Toc265395753</vt:lpwstr>
      </vt:variant>
      <vt:variant>
        <vt:i4>1179705</vt:i4>
      </vt:variant>
      <vt:variant>
        <vt:i4>122</vt:i4>
      </vt:variant>
      <vt:variant>
        <vt:i4>0</vt:i4>
      </vt:variant>
      <vt:variant>
        <vt:i4>5</vt:i4>
      </vt:variant>
      <vt:variant>
        <vt:lpwstr/>
      </vt:variant>
      <vt:variant>
        <vt:lpwstr>_Toc265395752</vt:lpwstr>
      </vt:variant>
      <vt:variant>
        <vt:i4>1179705</vt:i4>
      </vt:variant>
      <vt:variant>
        <vt:i4>116</vt:i4>
      </vt:variant>
      <vt:variant>
        <vt:i4>0</vt:i4>
      </vt:variant>
      <vt:variant>
        <vt:i4>5</vt:i4>
      </vt:variant>
      <vt:variant>
        <vt:lpwstr/>
      </vt:variant>
      <vt:variant>
        <vt:lpwstr>_Toc265395751</vt:lpwstr>
      </vt:variant>
      <vt:variant>
        <vt:i4>1179705</vt:i4>
      </vt:variant>
      <vt:variant>
        <vt:i4>110</vt:i4>
      </vt:variant>
      <vt:variant>
        <vt:i4>0</vt:i4>
      </vt:variant>
      <vt:variant>
        <vt:i4>5</vt:i4>
      </vt:variant>
      <vt:variant>
        <vt:lpwstr/>
      </vt:variant>
      <vt:variant>
        <vt:lpwstr>_Toc265395750</vt:lpwstr>
      </vt:variant>
      <vt:variant>
        <vt:i4>1245241</vt:i4>
      </vt:variant>
      <vt:variant>
        <vt:i4>104</vt:i4>
      </vt:variant>
      <vt:variant>
        <vt:i4>0</vt:i4>
      </vt:variant>
      <vt:variant>
        <vt:i4>5</vt:i4>
      </vt:variant>
      <vt:variant>
        <vt:lpwstr/>
      </vt:variant>
      <vt:variant>
        <vt:lpwstr>_Toc265395749</vt:lpwstr>
      </vt:variant>
      <vt:variant>
        <vt:i4>1245241</vt:i4>
      </vt:variant>
      <vt:variant>
        <vt:i4>98</vt:i4>
      </vt:variant>
      <vt:variant>
        <vt:i4>0</vt:i4>
      </vt:variant>
      <vt:variant>
        <vt:i4>5</vt:i4>
      </vt:variant>
      <vt:variant>
        <vt:lpwstr/>
      </vt:variant>
      <vt:variant>
        <vt:lpwstr>_Toc265395748</vt:lpwstr>
      </vt:variant>
      <vt:variant>
        <vt:i4>1245241</vt:i4>
      </vt:variant>
      <vt:variant>
        <vt:i4>92</vt:i4>
      </vt:variant>
      <vt:variant>
        <vt:i4>0</vt:i4>
      </vt:variant>
      <vt:variant>
        <vt:i4>5</vt:i4>
      </vt:variant>
      <vt:variant>
        <vt:lpwstr/>
      </vt:variant>
      <vt:variant>
        <vt:lpwstr>_Toc265395747</vt:lpwstr>
      </vt:variant>
      <vt:variant>
        <vt:i4>1245241</vt:i4>
      </vt:variant>
      <vt:variant>
        <vt:i4>86</vt:i4>
      </vt:variant>
      <vt:variant>
        <vt:i4>0</vt:i4>
      </vt:variant>
      <vt:variant>
        <vt:i4>5</vt:i4>
      </vt:variant>
      <vt:variant>
        <vt:lpwstr/>
      </vt:variant>
      <vt:variant>
        <vt:lpwstr>_Toc265395746</vt:lpwstr>
      </vt:variant>
      <vt:variant>
        <vt:i4>1245241</vt:i4>
      </vt:variant>
      <vt:variant>
        <vt:i4>80</vt:i4>
      </vt:variant>
      <vt:variant>
        <vt:i4>0</vt:i4>
      </vt:variant>
      <vt:variant>
        <vt:i4>5</vt:i4>
      </vt:variant>
      <vt:variant>
        <vt:lpwstr/>
      </vt:variant>
      <vt:variant>
        <vt:lpwstr>_Toc265395745</vt:lpwstr>
      </vt:variant>
      <vt:variant>
        <vt:i4>1245241</vt:i4>
      </vt:variant>
      <vt:variant>
        <vt:i4>74</vt:i4>
      </vt:variant>
      <vt:variant>
        <vt:i4>0</vt:i4>
      </vt:variant>
      <vt:variant>
        <vt:i4>5</vt:i4>
      </vt:variant>
      <vt:variant>
        <vt:lpwstr/>
      </vt:variant>
      <vt:variant>
        <vt:lpwstr>_Toc265395744</vt:lpwstr>
      </vt:variant>
      <vt:variant>
        <vt:i4>1245241</vt:i4>
      </vt:variant>
      <vt:variant>
        <vt:i4>68</vt:i4>
      </vt:variant>
      <vt:variant>
        <vt:i4>0</vt:i4>
      </vt:variant>
      <vt:variant>
        <vt:i4>5</vt:i4>
      </vt:variant>
      <vt:variant>
        <vt:lpwstr/>
      </vt:variant>
      <vt:variant>
        <vt:lpwstr>_Toc265395743</vt:lpwstr>
      </vt:variant>
      <vt:variant>
        <vt:i4>1245241</vt:i4>
      </vt:variant>
      <vt:variant>
        <vt:i4>62</vt:i4>
      </vt:variant>
      <vt:variant>
        <vt:i4>0</vt:i4>
      </vt:variant>
      <vt:variant>
        <vt:i4>5</vt:i4>
      </vt:variant>
      <vt:variant>
        <vt:lpwstr/>
      </vt:variant>
      <vt:variant>
        <vt:lpwstr>_Toc265395742</vt:lpwstr>
      </vt:variant>
      <vt:variant>
        <vt:i4>1245241</vt:i4>
      </vt:variant>
      <vt:variant>
        <vt:i4>56</vt:i4>
      </vt:variant>
      <vt:variant>
        <vt:i4>0</vt:i4>
      </vt:variant>
      <vt:variant>
        <vt:i4>5</vt:i4>
      </vt:variant>
      <vt:variant>
        <vt:lpwstr/>
      </vt:variant>
      <vt:variant>
        <vt:lpwstr>_Toc265395741</vt:lpwstr>
      </vt:variant>
      <vt:variant>
        <vt:i4>1245241</vt:i4>
      </vt:variant>
      <vt:variant>
        <vt:i4>50</vt:i4>
      </vt:variant>
      <vt:variant>
        <vt:i4>0</vt:i4>
      </vt:variant>
      <vt:variant>
        <vt:i4>5</vt:i4>
      </vt:variant>
      <vt:variant>
        <vt:lpwstr/>
      </vt:variant>
      <vt:variant>
        <vt:lpwstr>_Toc265395740</vt:lpwstr>
      </vt:variant>
      <vt:variant>
        <vt:i4>1310777</vt:i4>
      </vt:variant>
      <vt:variant>
        <vt:i4>44</vt:i4>
      </vt:variant>
      <vt:variant>
        <vt:i4>0</vt:i4>
      </vt:variant>
      <vt:variant>
        <vt:i4>5</vt:i4>
      </vt:variant>
      <vt:variant>
        <vt:lpwstr/>
      </vt:variant>
      <vt:variant>
        <vt:lpwstr>_Toc265395739</vt:lpwstr>
      </vt:variant>
      <vt:variant>
        <vt:i4>1310777</vt:i4>
      </vt:variant>
      <vt:variant>
        <vt:i4>38</vt:i4>
      </vt:variant>
      <vt:variant>
        <vt:i4>0</vt:i4>
      </vt:variant>
      <vt:variant>
        <vt:i4>5</vt:i4>
      </vt:variant>
      <vt:variant>
        <vt:lpwstr/>
      </vt:variant>
      <vt:variant>
        <vt:lpwstr>_Toc265395738</vt:lpwstr>
      </vt:variant>
      <vt:variant>
        <vt:i4>1310777</vt:i4>
      </vt:variant>
      <vt:variant>
        <vt:i4>32</vt:i4>
      </vt:variant>
      <vt:variant>
        <vt:i4>0</vt:i4>
      </vt:variant>
      <vt:variant>
        <vt:i4>5</vt:i4>
      </vt:variant>
      <vt:variant>
        <vt:lpwstr/>
      </vt:variant>
      <vt:variant>
        <vt:lpwstr>_Toc265395737</vt:lpwstr>
      </vt:variant>
      <vt:variant>
        <vt:i4>1310777</vt:i4>
      </vt:variant>
      <vt:variant>
        <vt:i4>26</vt:i4>
      </vt:variant>
      <vt:variant>
        <vt:i4>0</vt:i4>
      </vt:variant>
      <vt:variant>
        <vt:i4>5</vt:i4>
      </vt:variant>
      <vt:variant>
        <vt:lpwstr/>
      </vt:variant>
      <vt:variant>
        <vt:lpwstr>_Toc265395736</vt:lpwstr>
      </vt:variant>
      <vt:variant>
        <vt:i4>1310777</vt:i4>
      </vt:variant>
      <vt:variant>
        <vt:i4>20</vt:i4>
      </vt:variant>
      <vt:variant>
        <vt:i4>0</vt:i4>
      </vt:variant>
      <vt:variant>
        <vt:i4>5</vt:i4>
      </vt:variant>
      <vt:variant>
        <vt:lpwstr/>
      </vt:variant>
      <vt:variant>
        <vt:lpwstr>_Toc265395735</vt:lpwstr>
      </vt:variant>
      <vt:variant>
        <vt:i4>1310777</vt:i4>
      </vt:variant>
      <vt:variant>
        <vt:i4>14</vt:i4>
      </vt:variant>
      <vt:variant>
        <vt:i4>0</vt:i4>
      </vt:variant>
      <vt:variant>
        <vt:i4>5</vt:i4>
      </vt:variant>
      <vt:variant>
        <vt:lpwstr/>
      </vt:variant>
      <vt:variant>
        <vt:lpwstr>_Toc265395734</vt:lpwstr>
      </vt:variant>
      <vt:variant>
        <vt:i4>1310777</vt:i4>
      </vt:variant>
      <vt:variant>
        <vt:i4>8</vt:i4>
      </vt:variant>
      <vt:variant>
        <vt:i4>0</vt:i4>
      </vt:variant>
      <vt:variant>
        <vt:i4>5</vt:i4>
      </vt:variant>
      <vt:variant>
        <vt:lpwstr/>
      </vt:variant>
      <vt:variant>
        <vt:lpwstr>_Toc265395733</vt:lpwstr>
      </vt:variant>
      <vt:variant>
        <vt:i4>1310777</vt:i4>
      </vt:variant>
      <vt:variant>
        <vt:i4>2</vt:i4>
      </vt:variant>
      <vt:variant>
        <vt:i4>0</vt:i4>
      </vt:variant>
      <vt:variant>
        <vt:i4>5</vt:i4>
      </vt:variant>
      <vt:variant>
        <vt:lpwstr/>
      </vt:variant>
      <vt:variant>
        <vt:lpwstr>_Toc265395732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TO CESR BY PERC</dc:title>
  <dc:creator>Stephen Henley</dc:creator>
  <cp:lastModifiedBy>gravning</cp:lastModifiedBy>
  <cp:revision>2</cp:revision>
  <cp:lastPrinted>2010-07-09T13:27:00Z</cp:lastPrinted>
  <dcterms:created xsi:type="dcterms:W3CDTF">2011-10-31T19:40:00Z</dcterms:created>
  <dcterms:modified xsi:type="dcterms:W3CDTF">2011-10-31T19:40:00Z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