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C7" w:rsidRDefault="009F3DC7" w:rsidP="008D7170">
      <w:bookmarkStart w:id="0" w:name="_GoBack"/>
      <w:bookmarkEnd w:id="0"/>
      <w:r>
        <w:rPr>
          <w:noProof/>
        </w:rPr>
        <w:softHyphen/>
      </w:r>
      <w:r>
        <w:rPr>
          <w:noProof/>
        </w:rPr>
        <w:softHyphen/>
      </w:r>
      <w:r>
        <w:rPr>
          <w:noProof/>
        </w:rPr>
        <w:softHyphen/>
      </w:r>
      <w:r w:rsidR="00060D3D">
        <w:rPr>
          <w:noProof/>
        </w:rPr>
        <w:drawing>
          <wp:inline distT="0" distB="0" distL="0" distR="0">
            <wp:extent cx="6858000" cy="685800"/>
            <wp:effectExtent l="0" t="0" r="0" b="0"/>
            <wp:docPr id="1" name="Picture 1" descr="Impr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rov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rsidR="009F3DC7" w:rsidRDefault="009F3DC7" w:rsidP="008D7170">
      <w:pPr>
        <w:ind w:left="7920" w:firstLine="720"/>
        <w:jc w:val="center"/>
      </w:pPr>
    </w:p>
    <w:p w:rsidR="009F3DC7" w:rsidRDefault="00060D3D" w:rsidP="008D7170">
      <w:pPr>
        <w:ind w:left="7920" w:firstLine="720"/>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704850</wp:posOffset>
                </wp:positionH>
                <wp:positionV relativeFrom="paragraph">
                  <wp:posOffset>153035</wp:posOffset>
                </wp:positionV>
                <wp:extent cx="5943600" cy="280035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0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C7" w:rsidRDefault="009F3DC7" w:rsidP="008D7170">
                            <w:pPr>
                              <w:rPr>
                                <w:sz w:val="22"/>
                              </w:rPr>
                            </w:pPr>
                          </w:p>
                          <w:p w:rsidR="009F3DC7" w:rsidRPr="00180C21" w:rsidRDefault="009F3DC7" w:rsidP="008D7170">
                            <w:pPr>
                              <w:numPr>
                                <w:ilvl w:val="0"/>
                                <w:numId w:val="32"/>
                              </w:numPr>
                              <w:rPr>
                                <w:i/>
                                <w:sz w:val="18"/>
                              </w:rPr>
                            </w:pPr>
                            <w:r>
                              <w:rPr>
                                <w:sz w:val="22"/>
                              </w:rPr>
                              <w:t xml:space="preserve">The economic health and national security of the U.S. depends on the continued availability of, and access to, reliable and affordable energy and mineral resources. However, </w:t>
                            </w:r>
                            <w:r w:rsidRPr="00AB768A">
                              <w:rPr>
                                <w:sz w:val="22"/>
                              </w:rPr>
                              <w:t>America is hindered by a costly</w:t>
                            </w:r>
                            <w:r>
                              <w:rPr>
                                <w:sz w:val="22"/>
                              </w:rPr>
                              <w:t xml:space="preserve">, </w:t>
                            </w:r>
                            <w:r w:rsidRPr="00AB768A">
                              <w:rPr>
                                <w:sz w:val="22"/>
                              </w:rPr>
                              <w:t xml:space="preserve">inefficient </w:t>
                            </w:r>
                            <w:r>
                              <w:rPr>
                                <w:sz w:val="22"/>
                              </w:rPr>
                              <w:t xml:space="preserve">and often redundant </w:t>
                            </w:r>
                            <w:r w:rsidRPr="00AB768A">
                              <w:rPr>
                                <w:sz w:val="22"/>
                              </w:rPr>
                              <w:t xml:space="preserve">regulatory structure that thwarts </w:t>
                            </w:r>
                            <w:r>
                              <w:rPr>
                                <w:sz w:val="22"/>
                              </w:rPr>
                              <w:t xml:space="preserve">domestic </w:t>
                            </w:r>
                            <w:r w:rsidRPr="00AB768A">
                              <w:rPr>
                                <w:sz w:val="22"/>
                              </w:rPr>
                              <w:t>investment</w:t>
                            </w:r>
                            <w:r>
                              <w:rPr>
                                <w:sz w:val="22"/>
                              </w:rPr>
                              <w:t xml:space="preserve">, </w:t>
                            </w:r>
                            <w:r w:rsidRPr="00AB768A">
                              <w:rPr>
                                <w:sz w:val="22"/>
                              </w:rPr>
                              <w:t>expansion</w:t>
                            </w:r>
                            <w:r>
                              <w:rPr>
                                <w:sz w:val="22"/>
                              </w:rPr>
                              <w:t xml:space="preserve"> and job creation</w:t>
                            </w:r>
                            <w:r w:rsidRPr="00AB768A">
                              <w:rPr>
                                <w:sz w:val="22"/>
                              </w:rPr>
                              <w:t>.</w:t>
                            </w:r>
                            <w:r>
                              <w:rPr>
                                <w:sz w:val="22"/>
                              </w:rPr>
                              <w:t xml:space="preserve"> </w:t>
                            </w:r>
                            <w:r w:rsidRPr="00A4085D">
                              <w:rPr>
                                <w:sz w:val="22"/>
                              </w:rPr>
                              <w:t>The annual cost of federal regulations in the U</w:t>
                            </w:r>
                            <w:r>
                              <w:rPr>
                                <w:sz w:val="22"/>
                              </w:rPr>
                              <w:t xml:space="preserve">.S. </w:t>
                            </w:r>
                            <w:r w:rsidRPr="00A4085D">
                              <w:rPr>
                                <w:sz w:val="22"/>
                              </w:rPr>
                              <w:t>increased to more than $1.75 trillion in 2008</w:t>
                            </w:r>
                            <w:r>
                              <w:rPr>
                                <w:sz w:val="22"/>
                              </w:rPr>
                              <w:t>; averaging $8000 per employee.</w:t>
                            </w:r>
                            <w:r w:rsidRPr="00674704">
                              <w:rPr>
                                <w:sz w:val="20"/>
                              </w:rPr>
                              <w:t>(</w:t>
                            </w:r>
                            <w:r w:rsidRPr="00180C21">
                              <w:rPr>
                                <w:i/>
                                <w:sz w:val="18"/>
                              </w:rPr>
                              <w:t xml:space="preserve">The Impact of Regulatory Costs on Small Firms, </w:t>
                            </w:r>
                            <w:hyperlink r:id="rId9" w:history="1">
                              <w:r w:rsidRPr="00FA4D6C">
                                <w:rPr>
                                  <w:rStyle w:val="Hyperlink"/>
                                  <w:i/>
                                  <w:sz w:val="18"/>
                                </w:rPr>
                                <w:t>SBA,</w:t>
                              </w:r>
                            </w:hyperlink>
                            <w:r w:rsidRPr="00180C21">
                              <w:rPr>
                                <w:i/>
                                <w:sz w:val="18"/>
                              </w:rPr>
                              <w:t xml:space="preserve"> 2010)</w:t>
                            </w:r>
                          </w:p>
                          <w:p w:rsidR="009F3DC7" w:rsidRDefault="009F3DC7" w:rsidP="008D7170">
                            <w:pPr>
                              <w:rPr>
                                <w:sz w:val="22"/>
                              </w:rPr>
                            </w:pPr>
                          </w:p>
                          <w:p w:rsidR="009F3DC7" w:rsidRPr="00A50B1F" w:rsidRDefault="009F3DC7" w:rsidP="008D7170">
                            <w:pPr>
                              <w:numPr>
                                <w:ilvl w:val="0"/>
                                <w:numId w:val="32"/>
                              </w:numPr>
                              <w:rPr>
                                <w:sz w:val="22"/>
                              </w:rPr>
                            </w:pPr>
                            <w:r w:rsidRPr="00A50B1F">
                              <w:rPr>
                                <w:sz w:val="22"/>
                              </w:rPr>
                              <w:t xml:space="preserve">The </w:t>
                            </w:r>
                            <w:r>
                              <w:rPr>
                                <w:sz w:val="22"/>
                              </w:rPr>
                              <w:t xml:space="preserve">complexity, </w:t>
                            </w:r>
                            <w:r w:rsidRPr="00A50B1F">
                              <w:rPr>
                                <w:sz w:val="22"/>
                              </w:rPr>
                              <w:t xml:space="preserve">uncertainty </w:t>
                            </w:r>
                            <w:r>
                              <w:rPr>
                                <w:sz w:val="22"/>
                              </w:rPr>
                              <w:t>and delays within</w:t>
                            </w:r>
                            <w:r w:rsidRPr="00A50B1F">
                              <w:rPr>
                                <w:sz w:val="22"/>
                              </w:rPr>
                              <w:t xml:space="preserve"> the </w:t>
                            </w:r>
                            <w:r>
                              <w:rPr>
                                <w:sz w:val="22"/>
                              </w:rPr>
                              <w:t xml:space="preserve">current </w:t>
                            </w:r>
                            <w:r w:rsidRPr="00A50B1F">
                              <w:rPr>
                                <w:sz w:val="22"/>
                              </w:rPr>
                              <w:t>permitting system p</w:t>
                            </w:r>
                            <w:r>
                              <w:rPr>
                                <w:sz w:val="22"/>
                              </w:rPr>
                              <w:t xml:space="preserve">laces </w:t>
                            </w:r>
                            <w:r w:rsidRPr="00A50B1F">
                              <w:rPr>
                                <w:sz w:val="22"/>
                              </w:rPr>
                              <w:t xml:space="preserve">the U.S. at a competitive disadvantage with many other countries </w:t>
                            </w:r>
                            <w:r w:rsidR="00060D3D">
                              <w:rPr>
                                <w:sz w:val="22"/>
                              </w:rPr>
                              <w:t>that</w:t>
                            </w:r>
                            <w:r>
                              <w:rPr>
                                <w:sz w:val="22"/>
                              </w:rPr>
                              <w:t xml:space="preserve"> have both abundant mineral resources and a more welcoming business and regulatory climate.  As a result, American and international mining companies often move overseas or across borders to invest capital, create local employment, and produce the critical minerals America must then import at higher cost, while sacrificing employment and economic stimulus. </w:t>
                            </w:r>
                          </w:p>
                          <w:p w:rsidR="009F3DC7" w:rsidRDefault="009F3DC7" w:rsidP="008D7170">
                            <w:pPr>
                              <w:ind w:left="720"/>
                              <w:rPr>
                                <w:sz w:val="22"/>
                              </w:rPr>
                            </w:pPr>
                          </w:p>
                          <w:p w:rsidR="009F3DC7" w:rsidRPr="00473641" w:rsidRDefault="009F3DC7" w:rsidP="008D7170">
                            <w:pPr>
                              <w:numPr>
                                <w:ilvl w:val="0"/>
                                <w:numId w:val="18"/>
                              </w:numPr>
                              <w:ind w:left="720"/>
                              <w:rPr>
                                <w:sz w:val="20"/>
                              </w:rPr>
                            </w:pPr>
                            <w:r>
                              <w:rPr>
                                <w:sz w:val="22"/>
                              </w:rPr>
                              <w:t xml:space="preserve">According to </w:t>
                            </w:r>
                            <w:proofErr w:type="spellStart"/>
                            <w:r w:rsidRPr="002361BF">
                              <w:rPr>
                                <w:sz w:val="22"/>
                              </w:rPr>
                              <w:t>Behre</w:t>
                            </w:r>
                            <w:proofErr w:type="spellEnd"/>
                            <w:r w:rsidRPr="002361BF">
                              <w:rPr>
                                <w:sz w:val="22"/>
                              </w:rPr>
                              <w:t xml:space="preserve"> </w:t>
                            </w:r>
                            <w:proofErr w:type="spellStart"/>
                            <w:r w:rsidRPr="002361BF">
                              <w:rPr>
                                <w:sz w:val="22"/>
                              </w:rPr>
                              <w:t>Dolbear</w:t>
                            </w:r>
                            <w:proofErr w:type="spellEnd"/>
                            <w:r>
                              <w:rPr>
                                <w:sz w:val="22"/>
                              </w:rPr>
                              <w:t xml:space="preserve">, </w:t>
                            </w:r>
                            <w:r w:rsidRPr="005F5FFA">
                              <w:rPr>
                                <w:sz w:val="22"/>
                              </w:rPr>
                              <w:t xml:space="preserve">the U.S. is ranked lowest </w:t>
                            </w:r>
                            <w:r>
                              <w:rPr>
                                <w:sz w:val="22"/>
                              </w:rPr>
                              <w:t xml:space="preserve">globally </w:t>
                            </w:r>
                            <w:r w:rsidRPr="005F5FFA">
                              <w:rPr>
                                <w:sz w:val="22"/>
                              </w:rPr>
                              <w:t xml:space="preserve">due to </w:t>
                            </w:r>
                            <w:r w:rsidR="00811AEF">
                              <w:rPr>
                                <w:sz w:val="22"/>
                              </w:rPr>
                              <w:t xml:space="preserve">the lengthy </w:t>
                            </w:r>
                            <w:r>
                              <w:rPr>
                                <w:sz w:val="22"/>
                              </w:rPr>
                              <w:t xml:space="preserve">permitting </w:t>
                            </w:r>
                            <w:r w:rsidRPr="005F5FFA">
                              <w:rPr>
                                <w:sz w:val="22"/>
                              </w:rPr>
                              <w:t>period required before mine development can commence</w:t>
                            </w:r>
                            <w:r w:rsidRPr="00473641">
                              <w:rPr>
                                <w:sz w:val="20"/>
                              </w:rPr>
                              <w:t>.</w:t>
                            </w:r>
                            <w:r>
                              <w:rPr>
                                <w:sz w:val="20"/>
                              </w:rPr>
                              <w:t xml:space="preserve"> </w:t>
                            </w:r>
                            <w:r w:rsidRPr="00473641">
                              <w:rPr>
                                <w:sz w:val="20"/>
                              </w:rPr>
                              <w:t>(</w:t>
                            </w:r>
                            <w:hyperlink r:id="rId10" w:history="1">
                              <w:r w:rsidRPr="002361BF">
                                <w:rPr>
                                  <w:rStyle w:val="Hyperlink"/>
                                  <w:i/>
                                  <w:sz w:val="20"/>
                                </w:rPr>
                                <w:t>Where not to Invest</w:t>
                              </w:r>
                            </w:hyperlink>
                            <w:r>
                              <w:rPr>
                                <w:i/>
                                <w:sz w:val="20"/>
                              </w:rPr>
                              <w:t>,</w:t>
                            </w:r>
                            <w:r>
                              <w:rPr>
                                <w:sz w:val="20"/>
                              </w:rPr>
                              <w:t xml:space="preserve"> 2010</w:t>
                            </w:r>
                            <w:r w:rsidRPr="00473641">
                              <w:rPr>
                                <w:sz w:val="20"/>
                              </w:rPr>
                              <w:t>)</w:t>
                            </w:r>
                            <w:r>
                              <w:rPr>
                                <w:sz w:val="20"/>
                              </w:rPr>
                              <w:t>.</w:t>
                            </w:r>
                          </w:p>
                          <w:p w:rsidR="009F3DC7" w:rsidRDefault="009F3DC7" w:rsidP="008D7170">
                            <w:pPr>
                              <w:pStyle w:val="ListParagraph"/>
                              <w:rPr>
                                <w:sz w:val="22"/>
                              </w:rPr>
                            </w:pPr>
                          </w:p>
                          <w:p w:rsidR="009F3DC7" w:rsidRDefault="009F3DC7" w:rsidP="008D7170">
                            <w:pPr>
                              <w:rPr>
                                <w:sz w:val="22"/>
                              </w:rPr>
                            </w:pPr>
                          </w:p>
                          <w:p w:rsidR="009F3DC7" w:rsidRDefault="009F3DC7" w:rsidP="008D7170">
                            <w:pPr>
                              <w:pStyle w:val="ListParagraph"/>
                              <w:rPr>
                                <w:sz w:val="22"/>
                              </w:rPr>
                            </w:pPr>
                          </w:p>
                          <w:p w:rsidR="009F3DC7" w:rsidRPr="005F5FFA" w:rsidRDefault="009F3DC7" w:rsidP="008D7170">
                            <w:pPr>
                              <w:rPr>
                                <w:sz w:val="22"/>
                              </w:rPr>
                            </w:pPr>
                          </w:p>
                          <w:p w:rsidR="009F3DC7" w:rsidRPr="005F5FFA" w:rsidRDefault="009F3DC7" w:rsidP="008D7170">
                            <w:pPr>
                              <w:pStyle w:val="ListParagraph"/>
                              <w:ind w:left="0"/>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5pt;margin-top:12.05pt;width:468pt;height:2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" stroked="f">
                <v:textbox inset="0,0,0,0">
                  <w:txbxContent>
                    <w:p w:rsidR="009F3DC7" w:rsidRDefault="009F3DC7" w:rsidP="008D7170">
                      <w:pPr>
                        <w:rPr>
                          <w:sz w:val="22"/>
                        </w:rPr>
                      </w:pPr>
                    </w:p>
                    <w:p w:rsidR="009F3DC7" w:rsidRPr="00180C21" w:rsidRDefault="009F3DC7" w:rsidP="008D7170">
                      <w:pPr>
                        <w:numPr>
                          <w:ilvl w:val="0"/>
                          <w:numId w:val="32"/>
                        </w:numPr>
                        <w:rPr>
                          <w:i/>
                          <w:sz w:val="18"/>
                        </w:rPr>
                      </w:pPr>
                      <w:r>
                        <w:rPr>
                          <w:sz w:val="22"/>
                        </w:rPr>
                        <w:t xml:space="preserve">The economic health and national security of the U.S. depends on the continued availability of, and access to, reliable and affordable energy and mineral resources. However, </w:t>
                      </w:r>
                      <w:r w:rsidRPr="00AB768A">
                        <w:rPr>
                          <w:sz w:val="22"/>
                        </w:rPr>
                        <w:t>America is hindered by a costly</w:t>
                      </w:r>
                      <w:r>
                        <w:rPr>
                          <w:sz w:val="22"/>
                        </w:rPr>
                        <w:t xml:space="preserve">, </w:t>
                      </w:r>
                      <w:r w:rsidRPr="00AB768A">
                        <w:rPr>
                          <w:sz w:val="22"/>
                        </w:rPr>
                        <w:t xml:space="preserve">inefficient </w:t>
                      </w:r>
                      <w:r>
                        <w:rPr>
                          <w:sz w:val="22"/>
                        </w:rPr>
                        <w:t xml:space="preserve">and often redundant </w:t>
                      </w:r>
                      <w:r w:rsidRPr="00AB768A">
                        <w:rPr>
                          <w:sz w:val="22"/>
                        </w:rPr>
                        <w:t xml:space="preserve">regulatory structure that thwarts </w:t>
                      </w:r>
                      <w:r>
                        <w:rPr>
                          <w:sz w:val="22"/>
                        </w:rPr>
                        <w:t xml:space="preserve">domestic </w:t>
                      </w:r>
                      <w:r w:rsidRPr="00AB768A">
                        <w:rPr>
                          <w:sz w:val="22"/>
                        </w:rPr>
                        <w:t>investment</w:t>
                      </w:r>
                      <w:r>
                        <w:rPr>
                          <w:sz w:val="22"/>
                        </w:rPr>
                        <w:t xml:space="preserve">, </w:t>
                      </w:r>
                      <w:r w:rsidRPr="00AB768A">
                        <w:rPr>
                          <w:sz w:val="22"/>
                        </w:rPr>
                        <w:t>expansion</w:t>
                      </w:r>
                      <w:r>
                        <w:rPr>
                          <w:sz w:val="22"/>
                        </w:rPr>
                        <w:t xml:space="preserve"> and job creation</w:t>
                      </w:r>
                      <w:r w:rsidRPr="00AB768A">
                        <w:rPr>
                          <w:sz w:val="22"/>
                        </w:rPr>
                        <w:t>.</w:t>
                      </w:r>
                      <w:r>
                        <w:rPr>
                          <w:sz w:val="22"/>
                        </w:rPr>
                        <w:t xml:space="preserve"> </w:t>
                      </w:r>
                      <w:r w:rsidRPr="00A4085D">
                        <w:rPr>
                          <w:sz w:val="22"/>
                        </w:rPr>
                        <w:t>The annual cost of federal regulations in the U</w:t>
                      </w:r>
                      <w:r>
                        <w:rPr>
                          <w:sz w:val="22"/>
                        </w:rPr>
                        <w:t xml:space="preserve">.S. </w:t>
                      </w:r>
                      <w:r w:rsidRPr="00A4085D">
                        <w:rPr>
                          <w:sz w:val="22"/>
                        </w:rPr>
                        <w:t>increased to more than $1.75 trillion in 2008</w:t>
                      </w:r>
                      <w:r>
                        <w:rPr>
                          <w:sz w:val="22"/>
                        </w:rPr>
                        <w:t>; averaging $8000 per employee.</w:t>
                      </w:r>
                      <w:r w:rsidRPr="00674704">
                        <w:rPr>
                          <w:sz w:val="20"/>
                        </w:rPr>
                        <w:t>(</w:t>
                      </w:r>
                      <w:r w:rsidRPr="00180C21">
                        <w:rPr>
                          <w:i/>
                          <w:sz w:val="18"/>
                        </w:rPr>
                        <w:t xml:space="preserve">The Impact of Regulatory Costs on Small Firms, </w:t>
                      </w:r>
                      <w:hyperlink r:id="rId11" w:history="1">
                        <w:r w:rsidRPr="00FA4D6C">
                          <w:rPr>
                            <w:rStyle w:val="Hyperlink"/>
                            <w:i/>
                            <w:sz w:val="18"/>
                          </w:rPr>
                          <w:t>SBA,</w:t>
                        </w:r>
                      </w:hyperlink>
                      <w:r w:rsidRPr="00180C21">
                        <w:rPr>
                          <w:i/>
                          <w:sz w:val="18"/>
                        </w:rPr>
                        <w:t xml:space="preserve"> 2010)</w:t>
                      </w:r>
                    </w:p>
                    <w:p w:rsidR="009F3DC7" w:rsidRDefault="009F3DC7" w:rsidP="008D7170">
                      <w:pPr>
                        <w:rPr>
                          <w:sz w:val="22"/>
                        </w:rPr>
                      </w:pPr>
                    </w:p>
                    <w:p w:rsidR="009F3DC7" w:rsidRPr="00A50B1F" w:rsidRDefault="009F3DC7" w:rsidP="008D7170">
                      <w:pPr>
                        <w:numPr>
                          <w:ilvl w:val="0"/>
                          <w:numId w:val="32"/>
                        </w:numPr>
                        <w:rPr>
                          <w:sz w:val="22"/>
                        </w:rPr>
                      </w:pPr>
                      <w:r w:rsidRPr="00A50B1F">
                        <w:rPr>
                          <w:sz w:val="22"/>
                        </w:rPr>
                        <w:t xml:space="preserve">The </w:t>
                      </w:r>
                      <w:r>
                        <w:rPr>
                          <w:sz w:val="22"/>
                        </w:rPr>
                        <w:t xml:space="preserve">complexity, </w:t>
                      </w:r>
                      <w:r w:rsidRPr="00A50B1F">
                        <w:rPr>
                          <w:sz w:val="22"/>
                        </w:rPr>
                        <w:t xml:space="preserve">uncertainty </w:t>
                      </w:r>
                      <w:r>
                        <w:rPr>
                          <w:sz w:val="22"/>
                        </w:rPr>
                        <w:t>and delays within</w:t>
                      </w:r>
                      <w:r w:rsidRPr="00A50B1F">
                        <w:rPr>
                          <w:sz w:val="22"/>
                        </w:rPr>
                        <w:t xml:space="preserve"> the </w:t>
                      </w:r>
                      <w:r>
                        <w:rPr>
                          <w:sz w:val="22"/>
                        </w:rPr>
                        <w:t xml:space="preserve">current </w:t>
                      </w:r>
                      <w:r w:rsidRPr="00A50B1F">
                        <w:rPr>
                          <w:sz w:val="22"/>
                        </w:rPr>
                        <w:t>permitting system p</w:t>
                      </w:r>
                      <w:r>
                        <w:rPr>
                          <w:sz w:val="22"/>
                        </w:rPr>
                        <w:t xml:space="preserve">laces </w:t>
                      </w:r>
                      <w:r w:rsidRPr="00A50B1F">
                        <w:rPr>
                          <w:sz w:val="22"/>
                        </w:rPr>
                        <w:t xml:space="preserve">the U.S. at a competitive disadvantage with many other countries </w:t>
                      </w:r>
                      <w:r w:rsidR="00060D3D">
                        <w:rPr>
                          <w:sz w:val="22"/>
                        </w:rPr>
                        <w:t>that</w:t>
                      </w:r>
                      <w:r>
                        <w:rPr>
                          <w:sz w:val="22"/>
                        </w:rPr>
                        <w:t xml:space="preserve"> have both abundant mineral resources and a more welcoming business and regulatory climate.  As a result, American and international mining companies often move overseas or across borders to invest capital, create local employment, and produce the critical minerals America must then import at higher cost, while sacrificing employment and economic stimulus. </w:t>
                      </w:r>
                    </w:p>
                    <w:p w:rsidR="009F3DC7" w:rsidRDefault="009F3DC7" w:rsidP="008D7170">
                      <w:pPr>
                        <w:ind w:left="720"/>
                        <w:rPr>
                          <w:sz w:val="22"/>
                        </w:rPr>
                      </w:pPr>
                    </w:p>
                    <w:p w:rsidR="009F3DC7" w:rsidRPr="00473641" w:rsidRDefault="009F3DC7" w:rsidP="008D7170">
                      <w:pPr>
                        <w:numPr>
                          <w:ilvl w:val="0"/>
                          <w:numId w:val="18"/>
                        </w:numPr>
                        <w:ind w:left="720"/>
                        <w:rPr>
                          <w:sz w:val="20"/>
                        </w:rPr>
                      </w:pPr>
                      <w:r>
                        <w:rPr>
                          <w:sz w:val="22"/>
                        </w:rPr>
                        <w:t xml:space="preserve">According to </w:t>
                      </w:r>
                      <w:proofErr w:type="spellStart"/>
                      <w:r w:rsidRPr="002361BF">
                        <w:rPr>
                          <w:sz w:val="22"/>
                        </w:rPr>
                        <w:t>Behre</w:t>
                      </w:r>
                      <w:proofErr w:type="spellEnd"/>
                      <w:r w:rsidRPr="002361BF">
                        <w:rPr>
                          <w:sz w:val="22"/>
                        </w:rPr>
                        <w:t xml:space="preserve"> </w:t>
                      </w:r>
                      <w:proofErr w:type="spellStart"/>
                      <w:r w:rsidRPr="002361BF">
                        <w:rPr>
                          <w:sz w:val="22"/>
                        </w:rPr>
                        <w:t>Dolbear</w:t>
                      </w:r>
                      <w:proofErr w:type="spellEnd"/>
                      <w:r>
                        <w:rPr>
                          <w:sz w:val="22"/>
                        </w:rPr>
                        <w:t xml:space="preserve">, </w:t>
                      </w:r>
                      <w:r w:rsidRPr="005F5FFA">
                        <w:rPr>
                          <w:sz w:val="22"/>
                        </w:rPr>
                        <w:t xml:space="preserve">the U.S. is ranked lowest </w:t>
                      </w:r>
                      <w:r>
                        <w:rPr>
                          <w:sz w:val="22"/>
                        </w:rPr>
                        <w:t xml:space="preserve">globally </w:t>
                      </w:r>
                      <w:r w:rsidRPr="005F5FFA">
                        <w:rPr>
                          <w:sz w:val="22"/>
                        </w:rPr>
                        <w:t xml:space="preserve">due to </w:t>
                      </w:r>
                      <w:r w:rsidR="00811AEF">
                        <w:rPr>
                          <w:sz w:val="22"/>
                        </w:rPr>
                        <w:t xml:space="preserve">the lengthy </w:t>
                      </w:r>
                      <w:r>
                        <w:rPr>
                          <w:sz w:val="22"/>
                        </w:rPr>
                        <w:t xml:space="preserve">permitting </w:t>
                      </w:r>
                      <w:r w:rsidRPr="005F5FFA">
                        <w:rPr>
                          <w:sz w:val="22"/>
                        </w:rPr>
                        <w:t>period required before mine development can commence</w:t>
                      </w:r>
                      <w:r w:rsidRPr="00473641">
                        <w:rPr>
                          <w:sz w:val="20"/>
                        </w:rPr>
                        <w:t>.</w:t>
                      </w:r>
                      <w:r>
                        <w:rPr>
                          <w:sz w:val="20"/>
                        </w:rPr>
                        <w:t xml:space="preserve"> </w:t>
                      </w:r>
                      <w:r w:rsidRPr="00473641">
                        <w:rPr>
                          <w:sz w:val="20"/>
                        </w:rPr>
                        <w:t>(</w:t>
                      </w:r>
                      <w:hyperlink r:id="rId12" w:history="1">
                        <w:r w:rsidRPr="002361BF">
                          <w:rPr>
                            <w:rStyle w:val="Hyperlink"/>
                            <w:i/>
                            <w:sz w:val="20"/>
                          </w:rPr>
                          <w:t>Where not to Invest</w:t>
                        </w:r>
                      </w:hyperlink>
                      <w:r>
                        <w:rPr>
                          <w:i/>
                          <w:sz w:val="20"/>
                        </w:rPr>
                        <w:t>,</w:t>
                      </w:r>
                      <w:r>
                        <w:rPr>
                          <w:sz w:val="20"/>
                        </w:rPr>
                        <w:t xml:space="preserve"> 2010</w:t>
                      </w:r>
                      <w:r w:rsidRPr="00473641">
                        <w:rPr>
                          <w:sz w:val="20"/>
                        </w:rPr>
                        <w:t>)</w:t>
                      </w:r>
                      <w:r>
                        <w:rPr>
                          <w:sz w:val="20"/>
                        </w:rPr>
                        <w:t>.</w:t>
                      </w:r>
                    </w:p>
                    <w:p w:rsidR="009F3DC7" w:rsidRDefault="009F3DC7" w:rsidP="008D7170">
                      <w:pPr>
                        <w:pStyle w:val="ListParagraph"/>
                        <w:rPr>
                          <w:sz w:val="22"/>
                        </w:rPr>
                      </w:pPr>
                    </w:p>
                    <w:p w:rsidR="009F3DC7" w:rsidRDefault="009F3DC7" w:rsidP="008D7170">
                      <w:pPr>
                        <w:rPr>
                          <w:sz w:val="22"/>
                        </w:rPr>
                      </w:pPr>
                    </w:p>
                    <w:p w:rsidR="009F3DC7" w:rsidRDefault="009F3DC7" w:rsidP="008D7170">
                      <w:pPr>
                        <w:pStyle w:val="ListParagraph"/>
                        <w:rPr>
                          <w:sz w:val="22"/>
                        </w:rPr>
                      </w:pPr>
                    </w:p>
                    <w:p w:rsidR="009F3DC7" w:rsidRPr="005F5FFA" w:rsidRDefault="009F3DC7" w:rsidP="008D7170">
                      <w:pPr>
                        <w:rPr>
                          <w:sz w:val="22"/>
                        </w:rPr>
                      </w:pPr>
                    </w:p>
                    <w:p w:rsidR="009F3DC7" w:rsidRPr="005F5FFA" w:rsidRDefault="009F3DC7" w:rsidP="008D7170">
                      <w:pPr>
                        <w:pStyle w:val="ListParagraph"/>
                        <w:ind w:left="0"/>
                        <w:rPr>
                          <w:sz w:val="22"/>
                        </w:rPr>
                      </w:pPr>
                    </w:p>
                  </w:txbxContent>
                </v:textbox>
              </v:shape>
            </w:pict>
          </mc:Fallback>
        </mc:AlternateContent>
      </w:r>
      <w:r w:rsidR="009F3DC7">
        <w:t>October 2011</w:t>
      </w:r>
    </w:p>
    <w:p w:rsidR="009F3DC7" w:rsidRDefault="009F3DC7" w:rsidP="008D7170">
      <w:pPr>
        <w:ind w:left="7920" w:firstLine="720"/>
        <w:jc w:val="center"/>
      </w:pPr>
    </w:p>
    <w:p w:rsidR="009F3DC7" w:rsidRDefault="00060D3D" w:rsidP="008D7170">
      <w:pPr>
        <w:tabs>
          <w:tab w:val="left" w:pos="2160"/>
        </w:tabs>
        <w:rPr>
          <w:rFonts w:ascii="Helvetica" w:hAnsi="Helvetica"/>
          <w:b/>
          <w:color w:val="006BAD"/>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1533525</wp:posOffset>
                </wp:positionH>
                <wp:positionV relativeFrom="paragraph">
                  <wp:posOffset>48895</wp:posOffset>
                </wp:positionV>
                <wp:extent cx="5372100" cy="798830"/>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98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C7" w:rsidRPr="00AD7E49" w:rsidRDefault="009F3DC7" w:rsidP="008D717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20.75pt;margin-top:3.85pt;width:423pt;height:62.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" stroked="f">
                <v:textbox inset="0,0,0,0">
                  <w:txbxContent>
                    <w:p w:rsidR="009F3DC7" w:rsidRPr="00AD7E49" w:rsidRDefault="009F3DC7" w:rsidP="008D7170"/>
                  </w:txbxContent>
                </v:textbox>
              </v:shape>
            </w:pict>
          </mc:Fallback>
        </mc:AlternateContent>
      </w:r>
      <w:r w:rsidR="009F3DC7">
        <w:rPr>
          <w:rFonts w:ascii="Helvetica" w:hAnsi="Helvetica"/>
          <w:b/>
          <w:color w:val="006BAD"/>
          <w:sz w:val="28"/>
        </w:rPr>
        <w:t xml:space="preserve">   Issue</w:t>
      </w:r>
    </w:p>
    <w:p w:rsidR="009F3DC7" w:rsidRPr="001409AC" w:rsidRDefault="009F3DC7" w:rsidP="008D7170">
      <w:pPr>
        <w:tabs>
          <w:tab w:val="left" w:pos="2160"/>
        </w:tabs>
        <w:rPr>
          <w:rFonts w:ascii="Helvetica" w:hAnsi="Helvetica"/>
          <w:b/>
          <w:color w:val="006BAD"/>
          <w:sz w:val="28"/>
        </w:rPr>
      </w:pPr>
    </w:p>
    <w:p w:rsidR="009F3DC7" w:rsidRPr="001409AC"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p>
    <w:p w:rsidR="009F3DC7" w:rsidRDefault="009F3DC7" w:rsidP="008D7170">
      <w:pPr>
        <w:tabs>
          <w:tab w:val="left" w:pos="2160"/>
        </w:tabs>
        <w:rPr>
          <w:rFonts w:ascii="Helvetica" w:hAnsi="Helvetica"/>
          <w:b/>
          <w:color w:val="006BAD"/>
          <w:sz w:val="28"/>
        </w:rPr>
      </w:pPr>
      <w:r>
        <w:rPr>
          <w:rFonts w:ascii="Helvetica" w:hAnsi="Helvetica"/>
          <w:b/>
          <w:color w:val="006BAD"/>
          <w:sz w:val="28"/>
        </w:rPr>
        <w:tab/>
      </w:r>
      <w:r w:rsidR="00060D3D">
        <w:rPr>
          <w:rFonts w:ascii="Helvetica" w:hAnsi="Helvetica"/>
          <w:b/>
          <w:noProof/>
          <w:color w:val="006BAD"/>
        </w:rPr>
        <w:drawing>
          <wp:inline distT="0" distB="0" distL="0" distR="0">
            <wp:extent cx="4924425" cy="3629025"/>
            <wp:effectExtent l="0" t="0" r="9525" b="9525"/>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425" cy="3629025"/>
                    </a:xfrm>
                    <a:prstGeom prst="rect">
                      <a:avLst/>
                    </a:prstGeom>
                    <a:noFill/>
                    <a:ln>
                      <a:noFill/>
                    </a:ln>
                  </pic:spPr>
                </pic:pic>
              </a:graphicData>
            </a:graphic>
          </wp:inline>
        </w:drawing>
      </w:r>
      <w:r>
        <w:rPr>
          <w:rFonts w:ascii="Helvetica" w:hAnsi="Helvetica"/>
          <w:b/>
          <w:color w:val="006BAD"/>
          <w:sz w:val="28"/>
        </w:rPr>
        <w:t xml:space="preserve">          </w:t>
      </w:r>
    </w:p>
    <w:p w:rsidR="009F3DC7" w:rsidRDefault="009F3DC7" w:rsidP="008D7170">
      <w:pPr>
        <w:tabs>
          <w:tab w:val="left" w:pos="2160"/>
        </w:tabs>
        <w:rPr>
          <w:rFonts w:ascii="Helvetica" w:hAnsi="Helvetica"/>
          <w:b/>
          <w:color w:val="006BAD"/>
          <w:sz w:val="28"/>
        </w:rPr>
      </w:pPr>
      <w:r>
        <w:rPr>
          <w:rFonts w:ascii="Helvetica" w:hAnsi="Helvetica"/>
          <w:b/>
          <w:color w:val="006BAD"/>
          <w:sz w:val="28"/>
        </w:rPr>
        <w:lastRenderedPageBreak/>
        <w:t xml:space="preserve"> </w:t>
      </w:r>
      <w:r w:rsidR="00060D3D">
        <w:rPr>
          <w:noProof/>
        </w:rPr>
        <w:drawing>
          <wp:inline distT="0" distB="0" distL="0" distR="0">
            <wp:extent cx="6858000" cy="685800"/>
            <wp:effectExtent l="0" t="0" r="0" b="0"/>
            <wp:docPr id="3" name="Picture 3" descr="Impr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rov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r>
        <w:rPr>
          <w:rFonts w:ascii="Helvetica" w:hAnsi="Helvetica"/>
          <w:b/>
          <w:color w:val="006BAD"/>
          <w:sz w:val="28"/>
        </w:rPr>
        <w:tab/>
        <w:t xml:space="preserve"> </w:t>
      </w:r>
    </w:p>
    <w:p w:rsidR="009F3DC7" w:rsidRPr="003B477F" w:rsidRDefault="00060D3D" w:rsidP="008D7170">
      <w:pPr>
        <w:tabs>
          <w:tab w:val="left" w:pos="2160"/>
        </w:tabs>
        <w:rPr>
          <w:rFonts w:ascii="Helvetica" w:hAnsi="Helvetica"/>
          <w:b/>
          <w:color w:val="006BAD"/>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1266825</wp:posOffset>
                </wp:positionH>
                <wp:positionV relativeFrom="paragraph">
                  <wp:posOffset>33020</wp:posOffset>
                </wp:positionV>
                <wp:extent cx="5705475" cy="6715125"/>
                <wp:effectExtent l="0" t="0" r="9525" b="952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71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C7" w:rsidRPr="00CD6EDD" w:rsidRDefault="009F3DC7" w:rsidP="00CA7693">
                            <w:pPr>
                              <w:rPr>
                                <w:sz w:val="22"/>
                              </w:rPr>
                            </w:pPr>
                            <w:r w:rsidRPr="00CD6EDD">
                              <w:rPr>
                                <w:sz w:val="22"/>
                              </w:rPr>
                              <w:t>The length</w:t>
                            </w:r>
                            <w:r>
                              <w:rPr>
                                <w:sz w:val="22"/>
                              </w:rPr>
                              <w:t xml:space="preserve"> of time</w:t>
                            </w:r>
                            <w:r w:rsidRPr="00CD6EDD">
                              <w:rPr>
                                <w:sz w:val="22"/>
                              </w:rPr>
                              <w:t xml:space="preserve">, complexity and uncertainty of the permitting process are the primary reasons </w:t>
                            </w:r>
                            <w:r>
                              <w:rPr>
                                <w:sz w:val="22"/>
                              </w:rPr>
                              <w:t xml:space="preserve">given by </w:t>
                            </w:r>
                            <w:r w:rsidRPr="00CD6EDD">
                              <w:rPr>
                                <w:sz w:val="22"/>
                              </w:rPr>
                              <w:t>inv</w:t>
                            </w:r>
                            <w:r>
                              <w:rPr>
                                <w:sz w:val="22"/>
                              </w:rPr>
                              <w:t>estors for not investing in</w:t>
                            </w:r>
                            <w:r w:rsidRPr="00CD6EDD">
                              <w:rPr>
                                <w:sz w:val="22"/>
                              </w:rPr>
                              <w:t xml:space="preserve"> U.S. minerals mining.</w:t>
                            </w:r>
                            <w:r w:rsidRPr="00CD6EDD">
                              <w:t xml:space="preserve"> </w:t>
                            </w:r>
                          </w:p>
                          <w:p w:rsidR="009F3DC7" w:rsidRDefault="009F3DC7" w:rsidP="00CA7693">
                            <w:pPr>
                              <w:ind w:left="720"/>
                              <w:rPr>
                                <w:sz w:val="22"/>
                              </w:rPr>
                            </w:pPr>
                          </w:p>
                          <w:p w:rsidR="009F3DC7" w:rsidRPr="005D710F" w:rsidRDefault="009F3DC7" w:rsidP="008D7170">
                            <w:pPr>
                              <w:numPr>
                                <w:ilvl w:val="0"/>
                                <w:numId w:val="20"/>
                              </w:numPr>
                              <w:rPr>
                                <w:sz w:val="22"/>
                              </w:rPr>
                            </w:pPr>
                            <w:r w:rsidRPr="005D710F">
                              <w:rPr>
                                <w:sz w:val="22"/>
                              </w:rPr>
                              <w:t xml:space="preserve">The Department of Energy identified the 7-10 year period to obtain permits in the United States as one of the principal barriers to new mining ventures in the U.S. </w:t>
                            </w:r>
                            <w:r w:rsidRPr="009A4495">
                              <w:rPr>
                                <w:sz w:val="20"/>
                              </w:rPr>
                              <w:t>(</w:t>
                            </w:r>
                            <w:r w:rsidRPr="009D0B6C">
                              <w:rPr>
                                <w:i/>
                                <w:sz w:val="20"/>
                              </w:rPr>
                              <w:t xml:space="preserve">USDOE, </w:t>
                            </w:r>
                            <w:hyperlink r:id="rId14" w:history="1">
                              <w:r w:rsidRPr="00412C25">
                                <w:rPr>
                                  <w:rStyle w:val="Hyperlink"/>
                                  <w:i/>
                                  <w:sz w:val="20"/>
                                </w:rPr>
                                <w:t>Critical Materials Strategy</w:t>
                              </w:r>
                            </w:hyperlink>
                            <w:r>
                              <w:rPr>
                                <w:sz w:val="20"/>
                              </w:rPr>
                              <w:t xml:space="preserve">, </w:t>
                            </w:r>
                            <w:r w:rsidRPr="009A4495">
                              <w:rPr>
                                <w:sz w:val="20"/>
                              </w:rPr>
                              <w:t>2010)</w:t>
                            </w:r>
                            <w:r w:rsidRPr="005D710F">
                              <w:rPr>
                                <w:sz w:val="22"/>
                              </w:rPr>
                              <w:t>.</w:t>
                            </w:r>
                          </w:p>
                          <w:p w:rsidR="009F3DC7" w:rsidRPr="007F54D7" w:rsidRDefault="009F3DC7" w:rsidP="005A2AD3">
                            <w:pPr>
                              <w:pStyle w:val="ListParagraph"/>
                              <w:numPr>
                                <w:ilvl w:val="0"/>
                                <w:numId w:val="20"/>
                              </w:numPr>
                              <w:rPr>
                                <w:sz w:val="22"/>
                              </w:rPr>
                            </w:pPr>
                            <w:r w:rsidRPr="007F54D7">
                              <w:rPr>
                                <w:sz w:val="22"/>
                              </w:rPr>
                              <w:t xml:space="preserve">Permitting delays are ranked as the number one factor that impedes growth of the American mining industry by 80% of mining CEOs. For example, at least 67 major federal, state and local </w:t>
                            </w:r>
                            <w:hyperlink r:id="rId15" w:history="1">
                              <w:r w:rsidRPr="00FF5D75">
                                <w:rPr>
                                  <w:rStyle w:val="Hyperlink"/>
                                  <w:sz w:val="22"/>
                                </w:rPr>
                                <w:t>permits</w:t>
                              </w:r>
                            </w:hyperlink>
                            <w:r w:rsidRPr="007F54D7">
                              <w:rPr>
                                <w:sz w:val="22"/>
                              </w:rPr>
                              <w:t xml:space="preserve"> are required prior to construction and operation of </w:t>
                            </w:r>
                            <w:r w:rsidR="005A2AD3">
                              <w:rPr>
                                <w:sz w:val="22"/>
                              </w:rPr>
                              <w:t xml:space="preserve">a major mining project in </w:t>
                            </w:r>
                            <w:r w:rsidRPr="007F54D7">
                              <w:rPr>
                                <w:sz w:val="22"/>
                              </w:rPr>
                              <w:t>Alaska.</w:t>
                            </w:r>
                          </w:p>
                          <w:p w:rsidR="009F3DC7" w:rsidRDefault="009F3DC7" w:rsidP="006E3B2A">
                            <w:pPr>
                              <w:numPr>
                                <w:ilvl w:val="0"/>
                                <w:numId w:val="20"/>
                              </w:numPr>
                              <w:rPr>
                                <w:sz w:val="22"/>
                              </w:rPr>
                            </w:pPr>
                            <w:r w:rsidRPr="006E3B2A">
                              <w:rPr>
                                <w:sz w:val="22"/>
                              </w:rPr>
                              <w:t xml:space="preserve">Australia, </w:t>
                            </w:r>
                            <w:r w:rsidR="00FF4018">
                              <w:rPr>
                                <w:sz w:val="22"/>
                              </w:rPr>
                              <w:t>by contrast,</w:t>
                            </w:r>
                            <w:r w:rsidRPr="006E3B2A">
                              <w:rPr>
                                <w:sz w:val="22"/>
                              </w:rPr>
                              <w:t xml:space="preserve"> stands poised to capitalize on an economic transformation unparalleled in the nation's history, with a resources and commodities boom capable of generating $480 billion of exports in the next 20 years and creating 750,000 jobs. Australia’s mines generally require three years to permit – up from one year in 2006.</w:t>
                            </w:r>
                          </w:p>
                          <w:p w:rsidR="009F3DC7" w:rsidRPr="0063415F" w:rsidRDefault="009F3DC7" w:rsidP="0063415F">
                            <w:pPr>
                              <w:pStyle w:val="ListParagraph"/>
                              <w:numPr>
                                <w:ilvl w:val="0"/>
                                <w:numId w:val="20"/>
                              </w:numPr>
                              <w:rPr>
                                <w:sz w:val="22"/>
                              </w:rPr>
                            </w:pPr>
                            <w:r w:rsidRPr="0063415F">
                              <w:rPr>
                                <w:sz w:val="22"/>
                              </w:rPr>
                              <w:t xml:space="preserve">Due to the cyclical nature of mining and commodity prices, </w:t>
                            </w:r>
                            <w:r w:rsidR="00060D3D">
                              <w:rPr>
                                <w:sz w:val="22"/>
                              </w:rPr>
                              <w:t xml:space="preserve">where the cycles are often measured in decades, </w:t>
                            </w:r>
                            <w:r w:rsidRPr="0063415F">
                              <w:rPr>
                                <w:sz w:val="22"/>
                              </w:rPr>
                              <w:t xml:space="preserve">a 10-year permitting delay may place an otherwise profitable project on line just as prices start to fall. Further, companies </w:t>
                            </w:r>
                            <w:r w:rsidR="00060D3D">
                              <w:rPr>
                                <w:sz w:val="22"/>
                              </w:rPr>
                              <w:t xml:space="preserve">developing U.S.-based projects may lose their </w:t>
                            </w:r>
                            <w:r w:rsidRPr="0063415F">
                              <w:rPr>
                                <w:sz w:val="22"/>
                              </w:rPr>
                              <w:t xml:space="preserve">competitiveness to </w:t>
                            </w:r>
                            <w:r w:rsidR="00060D3D">
                              <w:rPr>
                                <w:sz w:val="22"/>
                              </w:rPr>
                              <w:t xml:space="preserve">companies investing in projects in foreign countries </w:t>
                            </w:r>
                            <w:r w:rsidRPr="0063415F">
                              <w:rPr>
                                <w:sz w:val="22"/>
                              </w:rPr>
                              <w:t xml:space="preserve">with streamlined permitting regimes. </w:t>
                            </w:r>
                          </w:p>
                          <w:p w:rsidR="009F3DC7" w:rsidRDefault="009F3DC7" w:rsidP="00582325">
                            <w:pPr>
                              <w:rPr>
                                <w:sz w:val="22"/>
                              </w:rPr>
                            </w:pPr>
                          </w:p>
                          <w:p w:rsidR="009F3DC7" w:rsidRDefault="009F3DC7" w:rsidP="00582325">
                            <w:pPr>
                              <w:rPr>
                                <w:sz w:val="22"/>
                              </w:rPr>
                            </w:pPr>
                            <w:r>
                              <w:rPr>
                                <w:sz w:val="22"/>
                              </w:rPr>
                              <w:t>Better coordination among regulatory bodies is needed to reduce the time and cost of permitting new projects.</w:t>
                            </w:r>
                          </w:p>
                          <w:p w:rsidR="009F3DC7" w:rsidRDefault="009F3DC7" w:rsidP="00D67822">
                            <w:pPr>
                              <w:ind w:left="720"/>
                              <w:rPr>
                                <w:sz w:val="22"/>
                              </w:rPr>
                            </w:pPr>
                          </w:p>
                          <w:p w:rsidR="009F3DC7" w:rsidRDefault="009F3DC7" w:rsidP="008D7170">
                            <w:pPr>
                              <w:numPr>
                                <w:ilvl w:val="0"/>
                                <w:numId w:val="20"/>
                              </w:numPr>
                              <w:rPr>
                                <w:sz w:val="22"/>
                              </w:rPr>
                            </w:pPr>
                            <w:r w:rsidRPr="00CD5DA5">
                              <w:rPr>
                                <w:sz w:val="22"/>
                              </w:rPr>
                              <w:t>The National Academy of Scie</w:t>
                            </w:r>
                            <w:r>
                              <w:rPr>
                                <w:sz w:val="22"/>
                              </w:rPr>
                              <w:t xml:space="preserve">nces’ National Research Council’s Committee on Earth Resources </w:t>
                            </w:r>
                            <w:r w:rsidRPr="00CD5DA5">
                              <w:rPr>
                                <w:sz w:val="22"/>
                              </w:rPr>
                              <w:t>found the U.S. permitting process imposes data collection and analysis requirements on the applicant and the regulatory agency that are poorly coordinated, excessively expensive, and of uneven value in protecting the environment.(</w:t>
                            </w:r>
                            <w:proofErr w:type="spellStart"/>
                            <w:r w:rsidR="005A2AD3">
                              <w:fldChar w:fldCharType="begin"/>
                            </w:r>
                            <w:r w:rsidR="005A2AD3">
                              <w:instrText xml:space="preserve"> HYPERLINK "http://www.nap.edu/openbook.php?record_id=9682&amp;page=1" </w:instrText>
                            </w:r>
                            <w:r w:rsidR="005A2AD3">
                              <w:fldChar w:fldCharType="separate"/>
                            </w:r>
                            <w:r w:rsidRPr="00BD783F">
                              <w:rPr>
                                <w:rStyle w:val="Hyperlink"/>
                                <w:i/>
                                <w:sz w:val="20"/>
                              </w:rPr>
                              <w:t>Hardrock</w:t>
                            </w:r>
                            <w:proofErr w:type="spellEnd"/>
                            <w:r w:rsidRPr="00BD783F">
                              <w:rPr>
                                <w:rStyle w:val="Hyperlink"/>
                                <w:i/>
                                <w:sz w:val="20"/>
                              </w:rPr>
                              <w:t xml:space="preserve"> Mining on Federal Lands</w:t>
                            </w:r>
                            <w:r w:rsidR="005A2AD3">
                              <w:rPr>
                                <w:rStyle w:val="Hyperlink"/>
                                <w:i/>
                                <w:sz w:val="20"/>
                              </w:rPr>
                              <w:fldChar w:fldCharType="end"/>
                            </w:r>
                            <w:r>
                              <w:rPr>
                                <w:sz w:val="20"/>
                              </w:rPr>
                              <w:t xml:space="preserve">, </w:t>
                            </w:r>
                            <w:r w:rsidRPr="00BD783F">
                              <w:rPr>
                                <w:sz w:val="20"/>
                              </w:rPr>
                              <w:t>1999)</w:t>
                            </w:r>
                            <w:r w:rsidRPr="00CD5DA5">
                              <w:rPr>
                                <w:sz w:val="22"/>
                              </w:rPr>
                              <w:t>.</w:t>
                            </w:r>
                          </w:p>
                          <w:p w:rsidR="009F3DC7" w:rsidRDefault="009F3DC7" w:rsidP="008E36B7">
                            <w:pPr>
                              <w:rPr>
                                <w:sz w:val="22"/>
                              </w:rPr>
                            </w:pPr>
                          </w:p>
                          <w:p w:rsidR="009F3DC7" w:rsidRPr="00CD5DA5" w:rsidRDefault="009F3DC7" w:rsidP="008E36B7">
                            <w:pPr>
                              <w:rPr>
                                <w:sz w:val="22"/>
                              </w:rPr>
                            </w:pPr>
                            <w:r>
                              <w:rPr>
                                <w:sz w:val="22"/>
                              </w:rPr>
                              <w:t xml:space="preserve">Current U.S. regulatory processes are frequently vague and sometimes capricious.  Federal and state operating permits have been unilaterally overturned without sufficient legal, technical, or regulatory justification. This has resulted in </w:t>
                            </w:r>
                            <w:r w:rsidR="00FF4018">
                              <w:rPr>
                                <w:sz w:val="22"/>
                              </w:rPr>
                              <w:t xml:space="preserve">extreme </w:t>
                            </w:r>
                            <w:r>
                              <w:rPr>
                                <w:sz w:val="22"/>
                              </w:rPr>
                              <w:t xml:space="preserve">uncertainty for businesses to move forward with job-creating investments. </w:t>
                            </w:r>
                          </w:p>
                          <w:p w:rsidR="009F3DC7" w:rsidRDefault="009F3DC7" w:rsidP="00327669">
                            <w:pPr>
                              <w:ind w:left="720"/>
                              <w:rPr>
                                <w:sz w:val="22"/>
                              </w:rPr>
                            </w:pPr>
                          </w:p>
                          <w:p w:rsidR="009F3DC7" w:rsidRPr="00890F20" w:rsidRDefault="009F3DC7" w:rsidP="00327669">
                            <w:pPr>
                              <w:numPr>
                                <w:ilvl w:val="0"/>
                                <w:numId w:val="20"/>
                              </w:numPr>
                              <w:rPr>
                                <w:i/>
                                <w:sz w:val="20"/>
                              </w:rPr>
                            </w:pPr>
                            <w:r w:rsidRPr="00327669">
                              <w:rPr>
                                <w:sz w:val="22"/>
                              </w:rPr>
                              <w:t>EPA’s use of guidance, as opposed to notice-and-comment rulemaking, amounts to a de-facto moratorium on the issuance of mining permits by rewriting the underlying statutory and regulatory permitting framework. (</w:t>
                            </w:r>
                            <w:r w:rsidRPr="00890F20">
                              <w:rPr>
                                <w:i/>
                                <w:sz w:val="20"/>
                              </w:rPr>
                              <w:t xml:space="preserve">Nat’l Mining </w:t>
                            </w:r>
                            <w:proofErr w:type="spellStart"/>
                            <w:r w:rsidRPr="00890F20">
                              <w:rPr>
                                <w:i/>
                                <w:sz w:val="20"/>
                              </w:rPr>
                              <w:t>Assn</w:t>
                            </w:r>
                            <w:proofErr w:type="spellEnd"/>
                            <w:r w:rsidRPr="00890F20">
                              <w:rPr>
                                <w:i/>
                                <w:sz w:val="20"/>
                              </w:rPr>
                              <w:t xml:space="preserve"> v EPA, (D.D.C. 2011), 1:10-cv-01220 RBW)</w:t>
                            </w:r>
                          </w:p>
                          <w:p w:rsidR="009F3DC7" w:rsidRDefault="009F3DC7" w:rsidP="00327669">
                            <w:pPr>
                              <w:numPr>
                                <w:ilvl w:val="0"/>
                                <w:numId w:val="20"/>
                              </w:numPr>
                              <w:rPr>
                                <w:sz w:val="22"/>
                              </w:rPr>
                            </w:pPr>
                            <w:r w:rsidRPr="009E405C">
                              <w:rPr>
                                <w:sz w:val="22"/>
                              </w:rPr>
                              <w:t xml:space="preserve">EPA’s </w:t>
                            </w:r>
                            <w:r>
                              <w:rPr>
                                <w:sz w:val="22"/>
                              </w:rPr>
                              <w:t xml:space="preserve">unprecedented </w:t>
                            </w:r>
                            <w:r w:rsidRPr="009E405C">
                              <w:rPr>
                                <w:sz w:val="22"/>
                              </w:rPr>
                              <w:t xml:space="preserve">use of the Clean Water Act to </w:t>
                            </w:r>
                            <w:r>
                              <w:rPr>
                                <w:sz w:val="22"/>
                              </w:rPr>
                              <w:t xml:space="preserve">retroactively </w:t>
                            </w:r>
                            <w:r w:rsidRPr="009E405C">
                              <w:rPr>
                                <w:sz w:val="22"/>
                              </w:rPr>
                              <w:t xml:space="preserve">revoke a longstanding, legally issued permit to operate </w:t>
                            </w:r>
                            <w:r>
                              <w:rPr>
                                <w:sz w:val="22"/>
                              </w:rPr>
                              <w:t xml:space="preserve">the </w:t>
                            </w:r>
                            <w:r w:rsidRPr="009E405C">
                              <w:rPr>
                                <w:sz w:val="22"/>
                              </w:rPr>
                              <w:t xml:space="preserve">Spruce No. 1 coal mine in Logan County, WV </w:t>
                            </w:r>
                            <w:r>
                              <w:rPr>
                                <w:sz w:val="22"/>
                              </w:rPr>
                              <w:t>is</w:t>
                            </w:r>
                            <w:r w:rsidRPr="009E405C">
                              <w:rPr>
                                <w:sz w:val="22"/>
                              </w:rPr>
                              <w:t xml:space="preserve"> a prime example of government action that creates significant regulatory uncertainty and exerts a chilling effect on future business investment. </w:t>
                            </w:r>
                          </w:p>
                          <w:p w:rsidR="009F3DC7" w:rsidRDefault="009F3DC7" w:rsidP="00327669">
                            <w:pPr>
                              <w:ind w:left="720"/>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99.75pt;margin-top:2.6pt;width:449.25pt;height:52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" stroked="f">
                <v:textbox inset="0,0,0,0">
                  <w:txbxContent>
                    <w:p w:rsidR="009F3DC7" w:rsidRPr="00CD6EDD" w:rsidRDefault="009F3DC7" w:rsidP="00CA7693">
                      <w:pPr>
                        <w:rPr>
                          <w:sz w:val="22"/>
                        </w:rPr>
                      </w:pPr>
                      <w:r w:rsidRPr="00CD6EDD">
                        <w:rPr>
                          <w:sz w:val="22"/>
                        </w:rPr>
                        <w:t>The length</w:t>
                      </w:r>
                      <w:r>
                        <w:rPr>
                          <w:sz w:val="22"/>
                        </w:rPr>
                        <w:t xml:space="preserve"> of time</w:t>
                      </w:r>
                      <w:r w:rsidRPr="00CD6EDD">
                        <w:rPr>
                          <w:sz w:val="22"/>
                        </w:rPr>
                        <w:t xml:space="preserve">, complexity and uncertainty of the permitting process are the primary reasons </w:t>
                      </w:r>
                      <w:r>
                        <w:rPr>
                          <w:sz w:val="22"/>
                        </w:rPr>
                        <w:t xml:space="preserve">given by </w:t>
                      </w:r>
                      <w:r w:rsidRPr="00CD6EDD">
                        <w:rPr>
                          <w:sz w:val="22"/>
                        </w:rPr>
                        <w:t>inv</w:t>
                      </w:r>
                      <w:r>
                        <w:rPr>
                          <w:sz w:val="22"/>
                        </w:rPr>
                        <w:t>estors for not investing in</w:t>
                      </w:r>
                      <w:r w:rsidRPr="00CD6EDD">
                        <w:rPr>
                          <w:sz w:val="22"/>
                        </w:rPr>
                        <w:t xml:space="preserve"> U.S. minerals mining.</w:t>
                      </w:r>
                      <w:r w:rsidRPr="00CD6EDD">
                        <w:t xml:space="preserve"> </w:t>
                      </w:r>
                    </w:p>
                    <w:p w:rsidR="009F3DC7" w:rsidRDefault="009F3DC7" w:rsidP="00CA7693">
                      <w:pPr>
                        <w:ind w:left="720"/>
                        <w:rPr>
                          <w:sz w:val="22"/>
                        </w:rPr>
                      </w:pPr>
                    </w:p>
                    <w:p w:rsidR="009F3DC7" w:rsidRPr="005D710F" w:rsidRDefault="009F3DC7" w:rsidP="008D7170">
                      <w:pPr>
                        <w:numPr>
                          <w:ilvl w:val="0"/>
                          <w:numId w:val="20"/>
                        </w:numPr>
                        <w:rPr>
                          <w:sz w:val="22"/>
                        </w:rPr>
                      </w:pPr>
                      <w:r w:rsidRPr="005D710F">
                        <w:rPr>
                          <w:sz w:val="22"/>
                        </w:rPr>
                        <w:t xml:space="preserve">The Department of Energy identified the 7-10 year period to obtain permits in the United States as one of the principal barriers to new mining ventures in the U.S. </w:t>
                      </w:r>
                      <w:r w:rsidRPr="009A4495">
                        <w:rPr>
                          <w:sz w:val="20"/>
                        </w:rPr>
                        <w:t>(</w:t>
                      </w:r>
                      <w:r w:rsidRPr="009D0B6C">
                        <w:rPr>
                          <w:i/>
                          <w:sz w:val="20"/>
                        </w:rPr>
                        <w:t xml:space="preserve">USDOE, </w:t>
                      </w:r>
                      <w:hyperlink r:id="rId16" w:history="1">
                        <w:r w:rsidRPr="00412C25">
                          <w:rPr>
                            <w:rStyle w:val="Hyperlink"/>
                            <w:i/>
                            <w:sz w:val="20"/>
                          </w:rPr>
                          <w:t>Critical Materials Strategy</w:t>
                        </w:r>
                      </w:hyperlink>
                      <w:r>
                        <w:rPr>
                          <w:sz w:val="20"/>
                        </w:rPr>
                        <w:t xml:space="preserve">, </w:t>
                      </w:r>
                      <w:r w:rsidRPr="009A4495">
                        <w:rPr>
                          <w:sz w:val="20"/>
                        </w:rPr>
                        <w:t>2010)</w:t>
                      </w:r>
                      <w:r w:rsidRPr="005D710F">
                        <w:rPr>
                          <w:sz w:val="22"/>
                        </w:rPr>
                        <w:t>.</w:t>
                      </w:r>
                    </w:p>
                    <w:p w:rsidR="009F3DC7" w:rsidRPr="007F54D7" w:rsidRDefault="009F3DC7" w:rsidP="005A2AD3">
                      <w:pPr>
                        <w:pStyle w:val="ListParagraph"/>
                        <w:numPr>
                          <w:ilvl w:val="0"/>
                          <w:numId w:val="20"/>
                        </w:numPr>
                        <w:rPr>
                          <w:sz w:val="22"/>
                        </w:rPr>
                      </w:pPr>
                      <w:r w:rsidRPr="007F54D7">
                        <w:rPr>
                          <w:sz w:val="22"/>
                        </w:rPr>
                        <w:t xml:space="preserve">Permitting delays are ranked as the number one factor that impedes growth of the American mining industry by 80% of mining CEOs. For example, at least 67 major federal, state and local </w:t>
                      </w:r>
                      <w:hyperlink r:id="rId17" w:history="1">
                        <w:r w:rsidRPr="00FF5D75">
                          <w:rPr>
                            <w:rStyle w:val="Hyperlink"/>
                            <w:sz w:val="22"/>
                          </w:rPr>
                          <w:t>permits</w:t>
                        </w:r>
                      </w:hyperlink>
                      <w:r w:rsidRPr="007F54D7">
                        <w:rPr>
                          <w:sz w:val="22"/>
                        </w:rPr>
                        <w:t xml:space="preserve"> are required prior to construction and operation of </w:t>
                      </w:r>
                      <w:r w:rsidR="005A2AD3">
                        <w:rPr>
                          <w:sz w:val="22"/>
                        </w:rPr>
                        <w:t xml:space="preserve">a major mining project in </w:t>
                      </w:r>
                      <w:r w:rsidRPr="007F54D7">
                        <w:rPr>
                          <w:sz w:val="22"/>
                        </w:rPr>
                        <w:t>Alaska.</w:t>
                      </w:r>
                    </w:p>
                    <w:p w:rsidR="009F3DC7" w:rsidRDefault="009F3DC7" w:rsidP="006E3B2A">
                      <w:pPr>
                        <w:numPr>
                          <w:ilvl w:val="0"/>
                          <w:numId w:val="20"/>
                        </w:numPr>
                        <w:rPr>
                          <w:sz w:val="22"/>
                        </w:rPr>
                      </w:pPr>
                      <w:r w:rsidRPr="006E3B2A">
                        <w:rPr>
                          <w:sz w:val="22"/>
                        </w:rPr>
                        <w:t xml:space="preserve">Australia, </w:t>
                      </w:r>
                      <w:r w:rsidR="00FF4018">
                        <w:rPr>
                          <w:sz w:val="22"/>
                        </w:rPr>
                        <w:t>by contrast,</w:t>
                      </w:r>
                      <w:r w:rsidRPr="006E3B2A">
                        <w:rPr>
                          <w:sz w:val="22"/>
                        </w:rPr>
                        <w:t xml:space="preserve"> stands poised to capitalize on an economic transformation unparalleled in the nation's history, with a resources and commodities boom capable of generating $480 billion of exports in the next 20 years and creating 750,000 jobs. Australia’s mines generally require three years to permit – up from one year in 2006.</w:t>
                      </w:r>
                    </w:p>
                    <w:p w:rsidR="009F3DC7" w:rsidRPr="0063415F" w:rsidRDefault="009F3DC7" w:rsidP="0063415F">
                      <w:pPr>
                        <w:pStyle w:val="ListParagraph"/>
                        <w:numPr>
                          <w:ilvl w:val="0"/>
                          <w:numId w:val="20"/>
                        </w:numPr>
                        <w:rPr>
                          <w:sz w:val="22"/>
                        </w:rPr>
                      </w:pPr>
                      <w:r w:rsidRPr="0063415F">
                        <w:rPr>
                          <w:sz w:val="22"/>
                        </w:rPr>
                        <w:t xml:space="preserve">Due to the cyclical nature of mining and commodity prices, </w:t>
                      </w:r>
                      <w:r w:rsidR="00060D3D">
                        <w:rPr>
                          <w:sz w:val="22"/>
                        </w:rPr>
                        <w:t xml:space="preserve">where the cycles are often measured in decades, </w:t>
                      </w:r>
                      <w:r w:rsidRPr="0063415F">
                        <w:rPr>
                          <w:sz w:val="22"/>
                        </w:rPr>
                        <w:t xml:space="preserve">a 10-year permitting delay may place an otherwise profitable project on line just as prices start to fall. Further, companies </w:t>
                      </w:r>
                      <w:r w:rsidR="00060D3D">
                        <w:rPr>
                          <w:sz w:val="22"/>
                        </w:rPr>
                        <w:t xml:space="preserve">developing U.S.-based projects may lose their </w:t>
                      </w:r>
                      <w:r w:rsidRPr="0063415F">
                        <w:rPr>
                          <w:sz w:val="22"/>
                        </w:rPr>
                        <w:t xml:space="preserve">competitiveness to </w:t>
                      </w:r>
                      <w:r w:rsidR="00060D3D">
                        <w:rPr>
                          <w:sz w:val="22"/>
                        </w:rPr>
                        <w:t xml:space="preserve">companies investing in projects in foreign countries </w:t>
                      </w:r>
                      <w:r w:rsidRPr="0063415F">
                        <w:rPr>
                          <w:sz w:val="22"/>
                        </w:rPr>
                        <w:t xml:space="preserve">with streamlined permitting regimes. </w:t>
                      </w:r>
                    </w:p>
                    <w:p w:rsidR="009F3DC7" w:rsidRDefault="009F3DC7" w:rsidP="00582325">
                      <w:pPr>
                        <w:rPr>
                          <w:sz w:val="22"/>
                        </w:rPr>
                      </w:pPr>
                    </w:p>
                    <w:p w:rsidR="009F3DC7" w:rsidRDefault="009F3DC7" w:rsidP="00582325">
                      <w:pPr>
                        <w:rPr>
                          <w:sz w:val="22"/>
                        </w:rPr>
                      </w:pPr>
                      <w:r>
                        <w:rPr>
                          <w:sz w:val="22"/>
                        </w:rPr>
                        <w:t>Better coordination among regulatory bodies is needed to reduce the time and cost of permitting new projects.</w:t>
                      </w:r>
                    </w:p>
                    <w:p w:rsidR="009F3DC7" w:rsidRDefault="009F3DC7" w:rsidP="00D67822">
                      <w:pPr>
                        <w:ind w:left="720"/>
                        <w:rPr>
                          <w:sz w:val="22"/>
                        </w:rPr>
                      </w:pPr>
                    </w:p>
                    <w:p w:rsidR="009F3DC7" w:rsidRDefault="009F3DC7" w:rsidP="008D7170">
                      <w:pPr>
                        <w:numPr>
                          <w:ilvl w:val="0"/>
                          <w:numId w:val="20"/>
                        </w:numPr>
                        <w:rPr>
                          <w:sz w:val="22"/>
                        </w:rPr>
                      </w:pPr>
                      <w:r w:rsidRPr="00CD5DA5">
                        <w:rPr>
                          <w:sz w:val="22"/>
                        </w:rPr>
                        <w:t>The National Academy of Scie</w:t>
                      </w:r>
                      <w:r>
                        <w:rPr>
                          <w:sz w:val="22"/>
                        </w:rPr>
                        <w:t xml:space="preserve">nces’ National Research Council’s Committee on Earth Resources </w:t>
                      </w:r>
                      <w:r w:rsidRPr="00CD5DA5">
                        <w:rPr>
                          <w:sz w:val="22"/>
                        </w:rPr>
                        <w:t>found the U.S. permitting process imposes data collection and analysis requirements on the applicant and the regulatory agency that are poorly coordinated, excessively expensive, and of uneven value in protecting the environment.(</w:t>
                      </w:r>
                      <w:proofErr w:type="spellStart"/>
                      <w:r w:rsidR="005A2AD3">
                        <w:fldChar w:fldCharType="begin"/>
                      </w:r>
                      <w:r w:rsidR="005A2AD3">
                        <w:instrText xml:space="preserve"> HYPERLINK "http://www.nap.edu/openbook.php?record_id=9682&amp;page=1" </w:instrText>
                      </w:r>
                      <w:r w:rsidR="005A2AD3">
                        <w:fldChar w:fldCharType="separate"/>
                      </w:r>
                      <w:r w:rsidRPr="00BD783F">
                        <w:rPr>
                          <w:rStyle w:val="Hyperlink"/>
                          <w:i/>
                          <w:sz w:val="20"/>
                        </w:rPr>
                        <w:t>Hardrock</w:t>
                      </w:r>
                      <w:proofErr w:type="spellEnd"/>
                      <w:r w:rsidRPr="00BD783F">
                        <w:rPr>
                          <w:rStyle w:val="Hyperlink"/>
                          <w:i/>
                          <w:sz w:val="20"/>
                        </w:rPr>
                        <w:t xml:space="preserve"> Mining on Federal Lands</w:t>
                      </w:r>
                      <w:r w:rsidR="005A2AD3">
                        <w:rPr>
                          <w:rStyle w:val="Hyperlink"/>
                          <w:i/>
                          <w:sz w:val="20"/>
                        </w:rPr>
                        <w:fldChar w:fldCharType="end"/>
                      </w:r>
                      <w:r>
                        <w:rPr>
                          <w:sz w:val="20"/>
                        </w:rPr>
                        <w:t xml:space="preserve">, </w:t>
                      </w:r>
                      <w:r w:rsidRPr="00BD783F">
                        <w:rPr>
                          <w:sz w:val="20"/>
                        </w:rPr>
                        <w:t>1999)</w:t>
                      </w:r>
                      <w:r w:rsidRPr="00CD5DA5">
                        <w:rPr>
                          <w:sz w:val="22"/>
                        </w:rPr>
                        <w:t>.</w:t>
                      </w:r>
                    </w:p>
                    <w:p w:rsidR="009F3DC7" w:rsidRDefault="009F3DC7" w:rsidP="008E36B7">
                      <w:pPr>
                        <w:rPr>
                          <w:sz w:val="22"/>
                        </w:rPr>
                      </w:pPr>
                    </w:p>
                    <w:p w:rsidR="009F3DC7" w:rsidRPr="00CD5DA5" w:rsidRDefault="009F3DC7" w:rsidP="008E36B7">
                      <w:pPr>
                        <w:rPr>
                          <w:sz w:val="22"/>
                        </w:rPr>
                      </w:pPr>
                      <w:r>
                        <w:rPr>
                          <w:sz w:val="22"/>
                        </w:rPr>
                        <w:t xml:space="preserve">Current U.S. regulatory processes are frequently vague and sometimes capricious.  Federal and state operating permits have been unilaterally overturned without sufficient legal, technical, or regulatory justification. This has resulted in </w:t>
                      </w:r>
                      <w:r w:rsidR="00FF4018">
                        <w:rPr>
                          <w:sz w:val="22"/>
                        </w:rPr>
                        <w:t xml:space="preserve">extreme </w:t>
                      </w:r>
                      <w:r>
                        <w:rPr>
                          <w:sz w:val="22"/>
                        </w:rPr>
                        <w:t xml:space="preserve">uncertainty for businesses to move forward with job-creating investments. </w:t>
                      </w:r>
                    </w:p>
                    <w:p w:rsidR="009F3DC7" w:rsidRDefault="009F3DC7" w:rsidP="00327669">
                      <w:pPr>
                        <w:ind w:left="720"/>
                        <w:rPr>
                          <w:sz w:val="22"/>
                        </w:rPr>
                      </w:pPr>
                    </w:p>
                    <w:p w:rsidR="009F3DC7" w:rsidRPr="00890F20" w:rsidRDefault="009F3DC7" w:rsidP="00327669">
                      <w:pPr>
                        <w:numPr>
                          <w:ilvl w:val="0"/>
                          <w:numId w:val="20"/>
                        </w:numPr>
                        <w:rPr>
                          <w:i/>
                          <w:sz w:val="20"/>
                        </w:rPr>
                      </w:pPr>
                      <w:r w:rsidRPr="00327669">
                        <w:rPr>
                          <w:sz w:val="22"/>
                        </w:rPr>
                        <w:t>EPA’s use of guidance, as opposed to notice-and-comment rulemaking, amounts to a de-facto moratorium on the issuance of mining permits by rewriting the underlying statutory and regulatory permitting framework. (</w:t>
                      </w:r>
                      <w:r w:rsidRPr="00890F20">
                        <w:rPr>
                          <w:i/>
                          <w:sz w:val="20"/>
                        </w:rPr>
                        <w:t xml:space="preserve">Nat’l Mining </w:t>
                      </w:r>
                      <w:proofErr w:type="spellStart"/>
                      <w:r w:rsidRPr="00890F20">
                        <w:rPr>
                          <w:i/>
                          <w:sz w:val="20"/>
                        </w:rPr>
                        <w:t>Assn</w:t>
                      </w:r>
                      <w:proofErr w:type="spellEnd"/>
                      <w:r w:rsidRPr="00890F20">
                        <w:rPr>
                          <w:i/>
                          <w:sz w:val="20"/>
                        </w:rPr>
                        <w:t xml:space="preserve"> v EPA, (D.D.C. 2011), 1:10-cv-01220 RBW)</w:t>
                      </w:r>
                    </w:p>
                    <w:p w:rsidR="009F3DC7" w:rsidRDefault="009F3DC7" w:rsidP="00327669">
                      <w:pPr>
                        <w:numPr>
                          <w:ilvl w:val="0"/>
                          <w:numId w:val="20"/>
                        </w:numPr>
                        <w:rPr>
                          <w:sz w:val="22"/>
                        </w:rPr>
                      </w:pPr>
                      <w:r w:rsidRPr="009E405C">
                        <w:rPr>
                          <w:sz w:val="22"/>
                        </w:rPr>
                        <w:t xml:space="preserve">EPA’s </w:t>
                      </w:r>
                      <w:r>
                        <w:rPr>
                          <w:sz w:val="22"/>
                        </w:rPr>
                        <w:t xml:space="preserve">unprecedented </w:t>
                      </w:r>
                      <w:r w:rsidRPr="009E405C">
                        <w:rPr>
                          <w:sz w:val="22"/>
                        </w:rPr>
                        <w:t xml:space="preserve">use of the Clean Water Act to </w:t>
                      </w:r>
                      <w:r>
                        <w:rPr>
                          <w:sz w:val="22"/>
                        </w:rPr>
                        <w:t xml:space="preserve">retroactively </w:t>
                      </w:r>
                      <w:r w:rsidRPr="009E405C">
                        <w:rPr>
                          <w:sz w:val="22"/>
                        </w:rPr>
                        <w:t xml:space="preserve">revoke a longstanding, legally issued permit to operate </w:t>
                      </w:r>
                      <w:r>
                        <w:rPr>
                          <w:sz w:val="22"/>
                        </w:rPr>
                        <w:t xml:space="preserve">the </w:t>
                      </w:r>
                      <w:r w:rsidRPr="009E405C">
                        <w:rPr>
                          <w:sz w:val="22"/>
                        </w:rPr>
                        <w:t xml:space="preserve">Spruce No. 1 coal mine in Logan County, WV </w:t>
                      </w:r>
                      <w:r>
                        <w:rPr>
                          <w:sz w:val="22"/>
                        </w:rPr>
                        <w:t>is</w:t>
                      </w:r>
                      <w:r w:rsidRPr="009E405C">
                        <w:rPr>
                          <w:sz w:val="22"/>
                        </w:rPr>
                        <w:t xml:space="preserve"> a prime example of government action that creates significant regulatory uncertainty and exerts a chilling effect on future business investment. </w:t>
                      </w:r>
                    </w:p>
                    <w:p w:rsidR="009F3DC7" w:rsidRDefault="009F3DC7" w:rsidP="00327669">
                      <w:pPr>
                        <w:ind w:left="720"/>
                        <w:rPr>
                          <w:sz w:val="22"/>
                        </w:rPr>
                      </w:pPr>
                    </w:p>
                  </w:txbxContent>
                </v:textbox>
              </v:shape>
            </w:pict>
          </mc:Fallback>
        </mc:AlternateContent>
      </w:r>
      <w:r w:rsidR="009F3DC7">
        <w:rPr>
          <w:rFonts w:ascii="Helvetica" w:hAnsi="Helvetica"/>
          <w:b/>
          <w:color w:val="006BAD"/>
          <w:sz w:val="28"/>
        </w:rPr>
        <w:t xml:space="preserve">  </w:t>
      </w:r>
      <w:r w:rsidR="009F3DC7" w:rsidRPr="001409AC">
        <w:rPr>
          <w:rFonts w:ascii="Helvetica" w:hAnsi="Helvetica"/>
          <w:b/>
          <w:color w:val="006BAD"/>
          <w:sz w:val="28"/>
        </w:rPr>
        <w:t>Background</w:t>
      </w:r>
      <w:r w:rsidR="009F3DC7">
        <w:rPr>
          <w:rFonts w:ascii="Helvetica" w:hAnsi="Helvetica"/>
          <w:b/>
          <w:color w:val="006BAD"/>
          <w:sz w:val="28"/>
        </w:rPr>
        <w:t xml:space="preserve"> </w:t>
      </w:r>
    </w:p>
    <w:p w:rsidR="009F3DC7" w:rsidRDefault="009F3DC7"/>
    <w:p w:rsidR="009F3DC7" w:rsidRDefault="009F3DC7"/>
    <w:p w:rsidR="009F3DC7" w:rsidRDefault="009F3DC7"/>
    <w:p w:rsidR="009F3DC7" w:rsidRDefault="009F3DC7"/>
    <w:p w:rsidR="009F3DC7" w:rsidRDefault="009F3DC7"/>
    <w:p w:rsidR="009F3DC7" w:rsidRDefault="009F3DC7"/>
    <w:p w:rsidR="009F3DC7" w:rsidRDefault="009F3DC7"/>
    <w:p w:rsidR="009F3DC7" w:rsidRDefault="009F3DC7"/>
    <w:p w:rsidR="009F3DC7" w:rsidRDefault="009F3DC7" w:rsidP="008D7170">
      <w:pPr>
        <w:jc w:val="center"/>
        <w:rPr>
          <w:rFonts w:ascii="Helvetica" w:hAnsi="Helvetica"/>
          <w:b/>
          <w:color w:val="006BAD"/>
          <w:sz w:val="28"/>
        </w:rPr>
      </w:pPr>
      <w:r>
        <w:rPr>
          <w:rFonts w:ascii="Helvetica" w:hAnsi="Helvetica"/>
          <w:b/>
          <w:color w:val="006BAD"/>
          <w:sz w:val="28"/>
        </w:rPr>
        <w:t xml:space="preserve">                </w:t>
      </w:r>
    </w:p>
    <w:p w:rsidR="009F3DC7" w:rsidRDefault="009F3DC7" w:rsidP="008D7170">
      <w:pPr>
        <w:jc w:val="center"/>
        <w:rPr>
          <w:rFonts w:ascii="Helvetica" w:hAnsi="Helvetica"/>
          <w:b/>
          <w:color w:val="006BAD"/>
          <w:sz w:val="28"/>
        </w:rPr>
      </w:pPr>
    </w:p>
    <w:p w:rsidR="009F3DC7" w:rsidRDefault="009F3DC7" w:rsidP="008D7170">
      <w:pPr>
        <w:jc w:val="center"/>
      </w:pPr>
    </w:p>
    <w:p w:rsidR="009F3DC7" w:rsidRDefault="009F3DC7" w:rsidP="008D7170">
      <w:pPr>
        <w:jc w:val="center"/>
      </w:pPr>
    </w:p>
    <w:p w:rsidR="009F3DC7" w:rsidRDefault="009F3DC7" w:rsidP="006D1878">
      <w:pPr>
        <w:tabs>
          <w:tab w:val="right" w:pos="2070"/>
        </w:tabs>
        <w:rPr>
          <w:rFonts w:ascii="Helvetica" w:hAnsi="Helvetica"/>
          <w:b/>
          <w:color w:val="006BAD"/>
          <w:sz w:val="28"/>
        </w:rPr>
      </w:pPr>
      <w:r>
        <w:rPr>
          <w:rFonts w:ascii="Helvetica" w:hAnsi="Helvetica"/>
          <w:b/>
          <w:color w:val="006BAD"/>
          <w:sz w:val="28"/>
        </w:rPr>
        <w:t xml:space="preserve">              </w:t>
      </w:r>
      <w:r>
        <w:rPr>
          <w:rFonts w:ascii="Helvetica" w:hAnsi="Helvetica"/>
          <w:b/>
          <w:noProof/>
          <w:color w:val="006BAD"/>
          <w:sz w:val="28"/>
        </w:rPr>
        <w:t xml:space="preserve">                   </w:t>
      </w:r>
    </w:p>
    <w:p w:rsidR="009F3DC7" w:rsidRDefault="009F3DC7" w:rsidP="008D7170">
      <w:pPr>
        <w:tabs>
          <w:tab w:val="right" w:pos="2070"/>
        </w:tabs>
        <w:rPr>
          <w:rFonts w:ascii="Helvetica" w:hAnsi="Helvetica"/>
          <w:b/>
          <w:color w:val="006BAD"/>
          <w:sz w:val="28"/>
        </w:rPr>
      </w:pPr>
      <w:r>
        <w:rPr>
          <w:rFonts w:ascii="Helvetica" w:hAnsi="Helvetica"/>
          <w:b/>
          <w:sz w:val="20"/>
        </w:rPr>
        <w:tab/>
        <w:t xml:space="preserve"> </w:t>
      </w:r>
      <w:r>
        <w:rPr>
          <w:rFonts w:ascii="Helvetica" w:hAnsi="Helvetica"/>
          <w:b/>
          <w:sz w:val="20"/>
        </w:rPr>
        <w:tab/>
      </w:r>
      <w:r>
        <w:rPr>
          <w:rFonts w:ascii="Helvetica" w:hAnsi="Helvetica"/>
          <w:b/>
          <w:sz w:val="20"/>
        </w:rPr>
        <w:tab/>
        <w:t xml:space="preserve">       </w:t>
      </w:r>
    </w:p>
    <w:p w:rsidR="009F3DC7" w:rsidRDefault="009F3DC7" w:rsidP="008D7170">
      <w:pPr>
        <w:tabs>
          <w:tab w:val="right" w:pos="2070"/>
        </w:tabs>
        <w:rPr>
          <w:rFonts w:ascii="Helvetica" w:hAnsi="Helvetica"/>
          <w:b/>
          <w:color w:val="006BAD"/>
          <w:sz w:val="28"/>
        </w:rPr>
      </w:pPr>
      <w:r>
        <w:rPr>
          <w:rFonts w:ascii="Helvetica" w:hAnsi="Helvetica"/>
          <w:b/>
          <w:color w:val="006BAD"/>
          <w:sz w:val="28"/>
        </w:rPr>
        <w:t xml:space="preserve">  </w:t>
      </w: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060D3D" w:rsidP="008D7170">
      <w:pPr>
        <w:tabs>
          <w:tab w:val="right" w:pos="2070"/>
        </w:tabs>
        <w:rPr>
          <w:rFonts w:ascii="Helvetica" w:hAnsi="Helvetica"/>
          <w:b/>
          <w:color w:val="006BAD"/>
          <w:sz w:val="28"/>
        </w:rPr>
      </w:pPr>
      <w:r>
        <w:rPr>
          <w:noProof/>
        </w:rPr>
        <w:lastRenderedPageBreak/>
        <w:drawing>
          <wp:inline distT="0" distB="0" distL="0" distR="0">
            <wp:extent cx="6858000" cy="685800"/>
            <wp:effectExtent l="0" t="0" r="0" b="0"/>
            <wp:docPr id="4" name="Picture 4" descr="Impr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prov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0" cy="685800"/>
                    </a:xfrm>
                    <a:prstGeom prst="rect">
                      <a:avLst/>
                    </a:prstGeom>
                    <a:noFill/>
                    <a:ln>
                      <a:noFill/>
                    </a:ln>
                  </pic:spPr>
                </pic:pic>
              </a:graphicData>
            </a:graphic>
          </wp:inline>
        </w:drawing>
      </w: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color w:val="006BAD"/>
          <w:sz w:val="28"/>
        </w:rPr>
      </w:pPr>
    </w:p>
    <w:p w:rsidR="009F3DC7" w:rsidRPr="001409AC" w:rsidRDefault="00060D3D" w:rsidP="008D7170">
      <w:pPr>
        <w:tabs>
          <w:tab w:val="right" w:pos="2070"/>
        </w:tabs>
        <w:rPr>
          <w:rFonts w:ascii="Helvetica" w:hAnsi="Helvetica"/>
          <w:b/>
          <w:color w:val="006BAD"/>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1447800</wp:posOffset>
                </wp:positionH>
                <wp:positionV relativeFrom="paragraph">
                  <wp:posOffset>-81280</wp:posOffset>
                </wp:positionV>
                <wp:extent cx="5151755" cy="26479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1755" cy="2647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3DC7" w:rsidRPr="00F90DC9" w:rsidRDefault="009F3DC7" w:rsidP="008D7170">
                            <w:pPr>
                              <w:rPr>
                                <w:sz w:val="22"/>
                              </w:rPr>
                            </w:pPr>
                          </w:p>
                          <w:p w:rsidR="009F3DC7" w:rsidRPr="00F90DC9" w:rsidRDefault="009F3DC7" w:rsidP="00F90DC9">
                            <w:pPr>
                              <w:numPr>
                                <w:ilvl w:val="0"/>
                                <w:numId w:val="19"/>
                              </w:numPr>
                              <w:rPr>
                                <w:sz w:val="22"/>
                              </w:rPr>
                            </w:pPr>
                            <w:r w:rsidRPr="00F90DC9">
                              <w:rPr>
                                <w:sz w:val="22"/>
                              </w:rPr>
                              <w:t xml:space="preserve">SME is committed to responsible exploration </w:t>
                            </w:r>
                            <w:r w:rsidR="00060D3D">
                              <w:rPr>
                                <w:sz w:val="22"/>
                              </w:rPr>
                              <w:t xml:space="preserve">and extraction </w:t>
                            </w:r>
                            <w:r w:rsidRPr="00F90DC9">
                              <w:rPr>
                                <w:sz w:val="22"/>
                              </w:rPr>
                              <w:t xml:space="preserve">of metals, minerals and coal in a manner that protects the environment, upholds established social and ethical standards, adheres to sustainable development principles, and strives to help our membership and the mining industry to </w:t>
                            </w:r>
                            <w:r>
                              <w:rPr>
                                <w:sz w:val="22"/>
                              </w:rPr>
                              <w:t xml:space="preserve">improve </w:t>
                            </w:r>
                            <w:r w:rsidRPr="00F90DC9">
                              <w:rPr>
                                <w:sz w:val="22"/>
                              </w:rPr>
                              <w:t>continuously systems, processes and prot</w:t>
                            </w:r>
                            <w:r>
                              <w:rPr>
                                <w:sz w:val="22"/>
                              </w:rPr>
                              <w:t>ocols to achieve this.</w:t>
                            </w:r>
                          </w:p>
                          <w:p w:rsidR="009F3DC7" w:rsidRDefault="009F3DC7" w:rsidP="008D7170">
                            <w:pPr>
                              <w:ind w:left="720"/>
                              <w:rPr>
                                <w:sz w:val="22"/>
                              </w:rPr>
                            </w:pPr>
                          </w:p>
                          <w:p w:rsidR="009F3DC7" w:rsidRPr="001047D1" w:rsidRDefault="009F3DC7" w:rsidP="001047D1">
                            <w:pPr>
                              <w:pStyle w:val="ListParagraph"/>
                              <w:numPr>
                                <w:ilvl w:val="0"/>
                                <w:numId w:val="19"/>
                              </w:numPr>
                              <w:rPr>
                                <w:sz w:val="22"/>
                              </w:rPr>
                            </w:pPr>
                            <w:r w:rsidRPr="001047D1">
                              <w:rPr>
                                <w:sz w:val="22"/>
                              </w:rPr>
                              <w:t>A streamlined National Environmental Policy Act (NEPA) compliance process</w:t>
                            </w:r>
                            <w:r>
                              <w:rPr>
                                <w:sz w:val="22"/>
                              </w:rPr>
                              <w:t>,</w:t>
                            </w:r>
                            <w:r w:rsidRPr="001047D1">
                              <w:rPr>
                                <w:sz w:val="22"/>
                              </w:rPr>
                              <w:t xml:space="preserve"> that is coordinated with state and other federal agencies</w:t>
                            </w:r>
                            <w:r w:rsidR="00FF4018">
                              <w:rPr>
                                <w:sz w:val="22"/>
                              </w:rPr>
                              <w:t xml:space="preserve"> having jurisdiction</w:t>
                            </w:r>
                            <w:r>
                              <w:rPr>
                                <w:sz w:val="22"/>
                              </w:rPr>
                              <w:t>,</w:t>
                            </w:r>
                            <w:r w:rsidRPr="001047D1">
                              <w:rPr>
                                <w:sz w:val="22"/>
                              </w:rPr>
                              <w:t xml:space="preserve"> would help promote efficient, fair and timely consideration of mining proposals and eliminate permitting delays.</w:t>
                            </w:r>
                          </w:p>
                          <w:p w:rsidR="009F3DC7" w:rsidRDefault="009F3DC7" w:rsidP="001047D1">
                            <w:pPr>
                              <w:ind w:left="720"/>
                              <w:rPr>
                                <w:sz w:val="22"/>
                              </w:rPr>
                            </w:pPr>
                          </w:p>
                          <w:p w:rsidR="009F3DC7" w:rsidRPr="00B0761D" w:rsidRDefault="009F3DC7" w:rsidP="008D7170">
                            <w:pPr>
                              <w:numPr>
                                <w:ilvl w:val="0"/>
                                <w:numId w:val="19"/>
                              </w:numPr>
                              <w:rPr>
                                <w:sz w:val="22"/>
                              </w:rPr>
                            </w:pPr>
                            <w:r>
                              <w:rPr>
                                <w:sz w:val="22"/>
                              </w:rPr>
                              <w:t>Better</w:t>
                            </w:r>
                            <w:r w:rsidRPr="00B0761D">
                              <w:rPr>
                                <w:sz w:val="22"/>
                              </w:rPr>
                              <w:t xml:space="preserve"> coordination of state and federal mine reclamation, operations</w:t>
                            </w:r>
                            <w:r>
                              <w:rPr>
                                <w:sz w:val="22"/>
                              </w:rPr>
                              <w:t>,</w:t>
                            </w:r>
                            <w:r w:rsidRPr="00B0761D">
                              <w:rPr>
                                <w:sz w:val="22"/>
                              </w:rPr>
                              <w:t xml:space="preserve"> permitting requirements</w:t>
                            </w:r>
                            <w:r>
                              <w:rPr>
                                <w:sz w:val="22"/>
                              </w:rPr>
                              <w:t xml:space="preserve">, </w:t>
                            </w:r>
                            <w:r w:rsidRPr="00B0761D">
                              <w:rPr>
                                <w:sz w:val="22"/>
                              </w:rPr>
                              <w:t>programs</w:t>
                            </w:r>
                            <w:r>
                              <w:rPr>
                                <w:sz w:val="22"/>
                              </w:rPr>
                              <w:t xml:space="preserve"> and agencies is urgently needed.</w:t>
                            </w:r>
                            <w:r w:rsidRPr="00B0761D">
                              <w:rPr>
                                <w:sz w:val="22"/>
                              </w:rPr>
                              <w:t xml:space="preserve"> </w:t>
                            </w:r>
                            <w:r>
                              <w:rPr>
                                <w:sz w:val="22"/>
                              </w:rPr>
                              <w:t xml:space="preserve">This will require congressional action, </w:t>
                            </w:r>
                            <w:r w:rsidR="00FF4018">
                              <w:rPr>
                                <w:sz w:val="22"/>
                              </w:rPr>
                              <w:t>revised</w:t>
                            </w:r>
                            <w:r>
                              <w:rPr>
                                <w:sz w:val="22"/>
                              </w:rPr>
                              <w:t xml:space="preserve"> federal regulations, </w:t>
                            </w:r>
                            <w:r w:rsidR="00FF4018">
                              <w:rPr>
                                <w:sz w:val="22"/>
                              </w:rPr>
                              <w:t xml:space="preserve">as well as </w:t>
                            </w:r>
                            <w:r>
                              <w:rPr>
                                <w:sz w:val="22"/>
                              </w:rPr>
                              <w:t>changes in implementation of existing regulations and programs.</w:t>
                            </w:r>
                          </w:p>
                          <w:p w:rsidR="009F3DC7" w:rsidRDefault="009F3DC7" w:rsidP="008D7170">
                            <w:pPr>
                              <w:ind w:left="720"/>
                              <w:rPr>
                                <w:sz w:val="22"/>
                              </w:rPr>
                            </w:pPr>
                          </w:p>
                          <w:p w:rsidR="009F3DC7" w:rsidRDefault="009F3DC7" w:rsidP="008D7170">
                            <w:pPr>
                              <w:ind w:left="720"/>
                              <w:rPr>
                                <w:sz w:val="22"/>
                              </w:rPr>
                            </w:pPr>
                          </w:p>
                          <w:p w:rsidR="009F3DC7" w:rsidRDefault="009F3DC7" w:rsidP="008D7170">
                            <w:pPr>
                              <w:ind w:left="720"/>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114pt;margin-top:-6.4pt;width:405.65pt;height:20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" stroked="f">
                <v:textbox inset="0,0,0,0">
                  <w:txbxContent>
                    <w:p w:rsidR="009F3DC7" w:rsidRPr="00F90DC9" w:rsidRDefault="009F3DC7" w:rsidP="008D7170">
                      <w:pPr>
                        <w:rPr>
                          <w:sz w:val="22"/>
                        </w:rPr>
                      </w:pPr>
                    </w:p>
                    <w:p w:rsidR="009F3DC7" w:rsidRPr="00F90DC9" w:rsidRDefault="009F3DC7" w:rsidP="00F90DC9">
                      <w:pPr>
                        <w:numPr>
                          <w:ilvl w:val="0"/>
                          <w:numId w:val="19"/>
                        </w:numPr>
                        <w:rPr>
                          <w:sz w:val="22"/>
                        </w:rPr>
                      </w:pPr>
                      <w:r w:rsidRPr="00F90DC9">
                        <w:rPr>
                          <w:sz w:val="22"/>
                        </w:rPr>
                        <w:t xml:space="preserve">SME is committed to responsible exploration </w:t>
                      </w:r>
                      <w:r w:rsidR="00060D3D">
                        <w:rPr>
                          <w:sz w:val="22"/>
                        </w:rPr>
                        <w:t xml:space="preserve">and extraction </w:t>
                      </w:r>
                      <w:r w:rsidRPr="00F90DC9">
                        <w:rPr>
                          <w:sz w:val="22"/>
                        </w:rPr>
                        <w:t xml:space="preserve">of metals, minerals and coal in a manner that protects the environment, upholds established social and ethical standards, adheres to sustainable development principles, and strives to help our membership and the mining industry to </w:t>
                      </w:r>
                      <w:r>
                        <w:rPr>
                          <w:sz w:val="22"/>
                        </w:rPr>
                        <w:t xml:space="preserve">improve </w:t>
                      </w:r>
                      <w:r w:rsidRPr="00F90DC9">
                        <w:rPr>
                          <w:sz w:val="22"/>
                        </w:rPr>
                        <w:t>continuously systems, processes and prot</w:t>
                      </w:r>
                      <w:r>
                        <w:rPr>
                          <w:sz w:val="22"/>
                        </w:rPr>
                        <w:t>ocols to achieve this.</w:t>
                      </w:r>
                    </w:p>
                    <w:p w:rsidR="009F3DC7" w:rsidRDefault="009F3DC7" w:rsidP="008D7170">
                      <w:pPr>
                        <w:ind w:left="720"/>
                        <w:rPr>
                          <w:sz w:val="22"/>
                        </w:rPr>
                      </w:pPr>
                    </w:p>
                    <w:p w:rsidR="009F3DC7" w:rsidRPr="001047D1" w:rsidRDefault="009F3DC7" w:rsidP="001047D1">
                      <w:pPr>
                        <w:pStyle w:val="ListParagraph"/>
                        <w:numPr>
                          <w:ilvl w:val="0"/>
                          <w:numId w:val="19"/>
                        </w:numPr>
                        <w:rPr>
                          <w:sz w:val="22"/>
                        </w:rPr>
                      </w:pPr>
                      <w:r w:rsidRPr="001047D1">
                        <w:rPr>
                          <w:sz w:val="22"/>
                        </w:rPr>
                        <w:t>A streamlined National Environmental Policy Act (NEPA) compliance process</w:t>
                      </w:r>
                      <w:r>
                        <w:rPr>
                          <w:sz w:val="22"/>
                        </w:rPr>
                        <w:t>,</w:t>
                      </w:r>
                      <w:r w:rsidRPr="001047D1">
                        <w:rPr>
                          <w:sz w:val="22"/>
                        </w:rPr>
                        <w:t xml:space="preserve"> that is coordinated with state and other federal agencies</w:t>
                      </w:r>
                      <w:r w:rsidR="00FF4018">
                        <w:rPr>
                          <w:sz w:val="22"/>
                        </w:rPr>
                        <w:t xml:space="preserve"> having jurisdiction</w:t>
                      </w:r>
                      <w:r>
                        <w:rPr>
                          <w:sz w:val="22"/>
                        </w:rPr>
                        <w:t>,</w:t>
                      </w:r>
                      <w:r w:rsidRPr="001047D1">
                        <w:rPr>
                          <w:sz w:val="22"/>
                        </w:rPr>
                        <w:t xml:space="preserve"> would help promote efficient, fair and timely consideration of mining proposals and eliminate permitting delays.</w:t>
                      </w:r>
                    </w:p>
                    <w:p w:rsidR="009F3DC7" w:rsidRDefault="009F3DC7" w:rsidP="001047D1">
                      <w:pPr>
                        <w:ind w:left="720"/>
                        <w:rPr>
                          <w:sz w:val="22"/>
                        </w:rPr>
                      </w:pPr>
                    </w:p>
                    <w:p w:rsidR="009F3DC7" w:rsidRPr="00B0761D" w:rsidRDefault="009F3DC7" w:rsidP="008D7170">
                      <w:pPr>
                        <w:numPr>
                          <w:ilvl w:val="0"/>
                          <w:numId w:val="19"/>
                        </w:numPr>
                        <w:rPr>
                          <w:sz w:val="22"/>
                        </w:rPr>
                      </w:pPr>
                      <w:r>
                        <w:rPr>
                          <w:sz w:val="22"/>
                        </w:rPr>
                        <w:t>Better</w:t>
                      </w:r>
                      <w:r w:rsidRPr="00B0761D">
                        <w:rPr>
                          <w:sz w:val="22"/>
                        </w:rPr>
                        <w:t xml:space="preserve"> coordination of state and federal mine reclamation, operations</w:t>
                      </w:r>
                      <w:r>
                        <w:rPr>
                          <w:sz w:val="22"/>
                        </w:rPr>
                        <w:t>,</w:t>
                      </w:r>
                      <w:r w:rsidRPr="00B0761D">
                        <w:rPr>
                          <w:sz w:val="22"/>
                        </w:rPr>
                        <w:t xml:space="preserve"> permitting requirements</w:t>
                      </w:r>
                      <w:r>
                        <w:rPr>
                          <w:sz w:val="22"/>
                        </w:rPr>
                        <w:t xml:space="preserve">, </w:t>
                      </w:r>
                      <w:r w:rsidRPr="00B0761D">
                        <w:rPr>
                          <w:sz w:val="22"/>
                        </w:rPr>
                        <w:t>programs</w:t>
                      </w:r>
                      <w:r>
                        <w:rPr>
                          <w:sz w:val="22"/>
                        </w:rPr>
                        <w:t xml:space="preserve"> and agencies is urgently needed.</w:t>
                      </w:r>
                      <w:r w:rsidRPr="00B0761D">
                        <w:rPr>
                          <w:sz w:val="22"/>
                        </w:rPr>
                        <w:t xml:space="preserve"> </w:t>
                      </w:r>
                      <w:r>
                        <w:rPr>
                          <w:sz w:val="22"/>
                        </w:rPr>
                        <w:t xml:space="preserve">This will require congressional action, </w:t>
                      </w:r>
                      <w:r w:rsidR="00FF4018">
                        <w:rPr>
                          <w:sz w:val="22"/>
                        </w:rPr>
                        <w:t>revised</w:t>
                      </w:r>
                      <w:r>
                        <w:rPr>
                          <w:sz w:val="22"/>
                        </w:rPr>
                        <w:t xml:space="preserve"> federal regulations, </w:t>
                      </w:r>
                      <w:r w:rsidR="00FF4018">
                        <w:rPr>
                          <w:sz w:val="22"/>
                        </w:rPr>
                        <w:t xml:space="preserve">as well as </w:t>
                      </w:r>
                      <w:r>
                        <w:rPr>
                          <w:sz w:val="22"/>
                        </w:rPr>
                        <w:t>changes in implementation of existing regulations and programs.</w:t>
                      </w:r>
                    </w:p>
                    <w:p w:rsidR="009F3DC7" w:rsidRDefault="009F3DC7" w:rsidP="008D7170">
                      <w:pPr>
                        <w:ind w:left="720"/>
                        <w:rPr>
                          <w:sz w:val="22"/>
                        </w:rPr>
                      </w:pPr>
                    </w:p>
                    <w:p w:rsidR="009F3DC7" w:rsidRDefault="009F3DC7" w:rsidP="008D7170">
                      <w:pPr>
                        <w:ind w:left="720"/>
                        <w:rPr>
                          <w:sz w:val="22"/>
                        </w:rPr>
                      </w:pPr>
                    </w:p>
                    <w:p w:rsidR="009F3DC7" w:rsidRDefault="009F3DC7" w:rsidP="008D7170">
                      <w:pPr>
                        <w:ind w:left="720"/>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p w:rsidR="009F3DC7" w:rsidRDefault="009F3DC7" w:rsidP="008D7170">
                      <w:pPr>
                        <w:rPr>
                          <w:sz w:val="22"/>
                        </w:rPr>
                      </w:pPr>
                    </w:p>
                  </w:txbxContent>
                </v:textbox>
              </v:shape>
            </w:pict>
          </mc:Fallback>
        </mc:AlternateContent>
      </w:r>
      <w:r w:rsidR="009F3DC7" w:rsidRPr="001409AC">
        <w:rPr>
          <w:rFonts w:ascii="Helvetica" w:hAnsi="Helvetica"/>
          <w:b/>
          <w:color w:val="006BAD"/>
          <w:sz w:val="28"/>
        </w:rPr>
        <w:t>SME Statement</w:t>
      </w:r>
    </w:p>
    <w:p w:rsidR="009F3DC7" w:rsidRPr="001409AC" w:rsidRDefault="009F3DC7" w:rsidP="008D7170">
      <w:pPr>
        <w:tabs>
          <w:tab w:val="right" w:pos="2070"/>
        </w:tabs>
        <w:rPr>
          <w:rFonts w:ascii="Helvetica" w:hAnsi="Helvetica"/>
          <w:b/>
          <w:color w:val="006BAD"/>
          <w:sz w:val="28"/>
        </w:rPr>
      </w:pPr>
      <w:r w:rsidRPr="001409AC">
        <w:rPr>
          <w:rFonts w:ascii="Helvetica" w:hAnsi="Helvetica"/>
          <w:b/>
          <w:color w:val="006BAD"/>
          <w:sz w:val="28"/>
        </w:rPr>
        <w:tab/>
      </w:r>
      <w:r>
        <w:rPr>
          <w:rFonts w:ascii="Helvetica" w:hAnsi="Helvetica"/>
          <w:b/>
          <w:color w:val="006BAD"/>
          <w:sz w:val="28"/>
        </w:rPr>
        <w:t xml:space="preserve">     </w:t>
      </w:r>
      <w:r w:rsidRPr="001409AC">
        <w:rPr>
          <w:rFonts w:ascii="Helvetica" w:hAnsi="Helvetica"/>
          <w:b/>
          <w:color w:val="006BAD"/>
          <w:sz w:val="28"/>
        </w:rPr>
        <w:t>Of Technical</w:t>
      </w:r>
    </w:p>
    <w:p w:rsidR="009F3DC7" w:rsidRPr="001409AC" w:rsidRDefault="009F3DC7" w:rsidP="008D7170">
      <w:pPr>
        <w:tabs>
          <w:tab w:val="right" w:pos="2070"/>
        </w:tabs>
        <w:rPr>
          <w:rFonts w:ascii="Helvetica" w:hAnsi="Helvetica"/>
          <w:b/>
          <w:color w:val="006BAD"/>
          <w:sz w:val="28"/>
        </w:rPr>
      </w:pPr>
      <w:r w:rsidRPr="001409AC">
        <w:rPr>
          <w:rFonts w:ascii="Helvetica" w:hAnsi="Helvetica"/>
          <w:b/>
          <w:color w:val="006BAD"/>
          <w:sz w:val="28"/>
        </w:rPr>
        <w:tab/>
      </w:r>
      <w:r>
        <w:rPr>
          <w:rFonts w:ascii="Helvetica" w:hAnsi="Helvetica"/>
          <w:b/>
          <w:color w:val="006BAD"/>
          <w:sz w:val="28"/>
        </w:rPr>
        <w:t xml:space="preserve">             </w:t>
      </w:r>
      <w:r w:rsidRPr="001409AC">
        <w:rPr>
          <w:rFonts w:ascii="Helvetica" w:hAnsi="Helvetica"/>
          <w:b/>
          <w:color w:val="006BAD"/>
          <w:sz w:val="28"/>
        </w:rPr>
        <w:t>Position</w:t>
      </w: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Pr="001409AC" w:rsidRDefault="009F3DC7" w:rsidP="008D7170">
      <w:pPr>
        <w:tabs>
          <w:tab w:val="right" w:pos="2070"/>
        </w:tabs>
        <w:rPr>
          <w:rFonts w:ascii="Helvetica" w:hAnsi="Helvetica"/>
          <w:b/>
          <w:color w:val="006BAD"/>
          <w:sz w:val="28"/>
        </w:rPr>
      </w:pPr>
    </w:p>
    <w:p w:rsidR="009F3DC7" w:rsidRDefault="009F3DC7" w:rsidP="008D7170">
      <w:pPr>
        <w:tabs>
          <w:tab w:val="right" w:pos="2070"/>
        </w:tabs>
        <w:rPr>
          <w:rFonts w:ascii="Helvetica" w:hAnsi="Helvetica"/>
          <w:b/>
          <w:sz w:val="20"/>
        </w:rPr>
      </w:pPr>
      <w:r>
        <w:rPr>
          <w:rFonts w:ascii="Helvetica" w:hAnsi="Helvetica"/>
          <w:b/>
          <w:color w:val="006BAD"/>
          <w:sz w:val="28"/>
        </w:rPr>
        <w:t xml:space="preserve">                    </w:t>
      </w:r>
    </w:p>
    <w:p w:rsidR="009F3DC7" w:rsidRDefault="00060D3D" w:rsidP="008D7170">
      <w:r>
        <w:rPr>
          <w:noProof/>
        </w:rPr>
        <mc:AlternateContent>
          <mc:Choice Requires="wps">
            <w:drawing>
              <wp:anchor distT="0" distB="0" distL="114300" distR="114300" simplePos="0" relativeHeight="251659776" behindDoc="0" locked="0" layoutInCell="1" allowOverlap="1">
                <wp:simplePos x="0" y="0"/>
                <wp:positionH relativeFrom="column">
                  <wp:posOffset>581025</wp:posOffset>
                </wp:positionH>
                <wp:positionV relativeFrom="paragraph">
                  <wp:posOffset>0</wp:posOffset>
                </wp:positionV>
                <wp:extent cx="6153150" cy="2272665"/>
                <wp:effectExtent l="0" t="0" r="1905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272665"/>
                        </a:xfrm>
                        <a:prstGeom prst="rect">
                          <a:avLst/>
                        </a:prstGeom>
                        <a:solidFill>
                          <a:srgbClr val="FFFFFF"/>
                        </a:solidFill>
                        <a:ln w="9525">
                          <a:solidFill>
                            <a:srgbClr val="000000"/>
                          </a:solidFill>
                          <a:miter lim="800000"/>
                          <a:headEnd/>
                          <a:tailEnd/>
                        </a:ln>
                      </wps:spPr>
                      <wps:txbx>
                        <w:txbxContent>
                          <w:p w:rsidR="009F3DC7" w:rsidRPr="004662EB" w:rsidRDefault="009F3DC7" w:rsidP="004662EB">
                            <w:r w:rsidRPr="004662EB">
                              <w:t xml:space="preserve">SME members recognize that there are environmental and social impacts </w:t>
                            </w:r>
                            <w:r>
                              <w:t xml:space="preserve">that </w:t>
                            </w:r>
                            <w:r w:rsidRPr="004662EB">
                              <w:t xml:space="preserve">result </w:t>
                            </w:r>
                            <w:r>
                              <w:t xml:space="preserve">from </w:t>
                            </w:r>
                            <w:r w:rsidRPr="004662EB">
                              <w:t>mining.  Further, the industry strives to find innovative ways, based upon sound science and engineer</w:t>
                            </w:r>
                            <w:r w:rsidR="00060D3D">
                              <w:t>ing principles, to explore the E</w:t>
                            </w:r>
                            <w:r w:rsidRPr="004662EB">
                              <w:t xml:space="preserve">arth, extract essential, critical and strategic minerals and </w:t>
                            </w:r>
                            <w:r>
                              <w:t xml:space="preserve">to </w:t>
                            </w:r>
                            <w:r w:rsidRPr="004662EB">
                              <w:t xml:space="preserve">design and operate processing and manufacturing facilities that eliminate or minimize any adverse impacts.  SME supports sustainable development principles that seek to return mined lands to useful and useable public and private lands for future generations. SME also recognizes the need for federal, state and local regulations to control and limit impacts of mining operations.  </w:t>
                            </w:r>
                            <w:r>
                              <w:t>The</w:t>
                            </w:r>
                            <w:r w:rsidRPr="004662EB">
                              <w:t>re needs to be clear, concise and consistent interpretation and application of laws, regulations and guidance by the government that apply to the mining industry</w:t>
                            </w:r>
                            <w:r>
                              <w:t xml:space="preserve"> to assure environmental and economic justice for all citizens.</w:t>
                            </w:r>
                            <w:r w:rsidRPr="004662EB">
                              <w:t xml:space="preserve"> In turn, the mining industry has a responsibility to participate in the public notice and comment process for new rules and then to comply with those rules and regulations that have </w:t>
                            </w:r>
                            <w:r w:rsidR="00FF4018">
                              <w:t>been promulgated</w:t>
                            </w:r>
                            <w:r w:rsidRPr="004662EB">
                              <w:t>.</w:t>
                            </w:r>
                          </w:p>
                          <w:p w:rsidR="009F3DC7" w:rsidRDefault="009F3D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45.75pt;margin-top:0;width:484.5pt;height:17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">
                <v:textbox>
                  <w:txbxContent>
                    <w:p w:rsidR="009F3DC7" w:rsidRPr="004662EB" w:rsidRDefault="009F3DC7" w:rsidP="004662EB">
                      <w:r w:rsidRPr="004662EB">
                        <w:t xml:space="preserve">SME members recognize that there are environmental and social impacts </w:t>
                      </w:r>
                      <w:r>
                        <w:t xml:space="preserve">that </w:t>
                      </w:r>
                      <w:r w:rsidRPr="004662EB">
                        <w:t xml:space="preserve">result </w:t>
                      </w:r>
                      <w:r>
                        <w:t xml:space="preserve">from </w:t>
                      </w:r>
                      <w:r w:rsidRPr="004662EB">
                        <w:t>mining.  Further, the industry strives to find innovative ways, based upon sound science and engineer</w:t>
                      </w:r>
                      <w:r w:rsidR="00060D3D">
                        <w:t>ing principles, to explore the E</w:t>
                      </w:r>
                      <w:r w:rsidRPr="004662EB">
                        <w:t xml:space="preserve">arth, extract essential, critical and strategic minerals and </w:t>
                      </w:r>
                      <w:r>
                        <w:t xml:space="preserve">to </w:t>
                      </w:r>
                      <w:r w:rsidRPr="004662EB">
                        <w:t xml:space="preserve">design and operate processing and manufacturing facilities that eliminate or minimize any adverse impacts.  SME supports sustainable development principles that seek to return mined lands to useful and useable public and private lands for future generations. SME also recognizes the need for federal, state and local regulations to control and limit impacts of mining operations.  </w:t>
                      </w:r>
                      <w:r>
                        <w:t>The</w:t>
                      </w:r>
                      <w:r w:rsidRPr="004662EB">
                        <w:t>re needs to be clear, concise and consistent interpretation and application of laws, regulations and guidance by the government that apply to the mining industry</w:t>
                      </w:r>
                      <w:r>
                        <w:t xml:space="preserve"> to assure environmental and economic justice for all citizens.</w:t>
                      </w:r>
                      <w:r w:rsidRPr="004662EB">
                        <w:t xml:space="preserve"> In turn, the mining industry has a responsibility to participate in the public notice and comment process for new rules and then to comply with those rules and regulations that have </w:t>
                      </w:r>
                      <w:r w:rsidR="00FF4018">
                        <w:t xml:space="preserve">been </w:t>
                      </w:r>
                      <w:r w:rsidR="00FF4018">
                        <w:t>promulgated</w:t>
                      </w:r>
                      <w:bookmarkStart w:id="1" w:name="_GoBack"/>
                      <w:bookmarkEnd w:id="1"/>
                      <w:r w:rsidRPr="004662EB">
                        <w:t>.</w:t>
                      </w:r>
                    </w:p>
                    <w:p w:rsidR="009F3DC7" w:rsidRDefault="009F3DC7"/>
                  </w:txbxContent>
                </v:textbox>
              </v:shape>
            </w:pict>
          </mc:Fallback>
        </mc:AlternateContent>
      </w:r>
    </w:p>
    <w:p w:rsidR="009F3DC7" w:rsidRDefault="009F3DC7" w:rsidP="008D7170"/>
    <w:p w:rsidR="009F3DC7" w:rsidRDefault="009F3DC7" w:rsidP="008D7170"/>
    <w:p w:rsidR="009F3DC7" w:rsidRDefault="009F3DC7" w:rsidP="008D7170"/>
    <w:p w:rsidR="009F3DC7" w:rsidRDefault="009F3DC7" w:rsidP="008D7170"/>
    <w:p w:rsidR="009F3DC7" w:rsidRDefault="009F3DC7" w:rsidP="008D7170"/>
    <w:sectPr w:rsidR="009F3DC7" w:rsidSect="008D7170">
      <w:headerReference w:type="default" r:id="rId18"/>
      <w:footerReference w:type="default" r:id="rId19"/>
      <w:pgSz w:w="12240" w:h="15840"/>
      <w:pgMar w:top="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DC7" w:rsidRDefault="009F3DC7" w:rsidP="008D7170">
      <w:r>
        <w:separator/>
      </w:r>
    </w:p>
  </w:endnote>
  <w:endnote w:type="continuationSeparator" w:id="0">
    <w:p w:rsidR="009F3DC7" w:rsidRDefault="009F3DC7" w:rsidP="008D7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DC7" w:rsidRPr="006D75DC" w:rsidRDefault="009F3DC7" w:rsidP="006D75DC">
    <w:pPr>
      <w:pStyle w:val="Footer"/>
      <w:pBdr>
        <w:top w:val="single" w:sz="4" w:space="1" w:color="A5A5A5"/>
      </w:pBdr>
      <w:jc w:val="right"/>
      <w:rPr>
        <w:color w:val="365F91"/>
        <w:sz w:val="20"/>
      </w:rPr>
    </w:pPr>
    <w:r w:rsidRPr="006D75DC">
      <w:rPr>
        <w:noProof/>
        <w:color w:val="365F91"/>
        <w:sz w:val="20"/>
      </w:rPr>
      <w:t xml:space="preserve">Society for Mining, Metallurgy and Exploration, Inc. </w:t>
    </w:r>
    <w:r w:rsidRPr="006D75DC">
      <w:rPr>
        <w:color w:val="365F91"/>
        <w:sz w:val="20"/>
      </w:rPr>
      <w:t xml:space="preserve"> | 12999 East Adam Aircraft Circle, Denver, CO 80112    303 948 4250</w:t>
    </w:r>
  </w:p>
  <w:p w:rsidR="009F3DC7" w:rsidRPr="006D75DC" w:rsidRDefault="009F3DC7">
    <w:pPr>
      <w:pStyle w:val="Footer"/>
      <w:rPr>
        <w:color w:val="0070C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DC7" w:rsidRDefault="009F3DC7" w:rsidP="008D7170">
      <w:r>
        <w:separator/>
      </w:r>
    </w:p>
  </w:footnote>
  <w:footnote w:type="continuationSeparator" w:id="0">
    <w:p w:rsidR="009F3DC7" w:rsidRDefault="009F3DC7" w:rsidP="008D7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DC7" w:rsidRDefault="009F3DC7">
    <w:pPr>
      <w:pStyle w:val="Header"/>
    </w:pPr>
  </w:p>
  <w:p w:rsidR="009F3DC7" w:rsidRDefault="009F3DC7">
    <w:pPr>
      <w:pStyle w:val="Header"/>
    </w:pPr>
  </w:p>
  <w:p w:rsidR="009F3DC7" w:rsidRDefault="009F3DC7">
    <w:pPr>
      <w:pStyle w:val="Header"/>
    </w:pPr>
  </w:p>
  <w:p w:rsidR="009F3DC7" w:rsidRPr="00A26FEA" w:rsidRDefault="009F3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2CE656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9C4593E"/>
    <w:lvl w:ilvl="0">
      <w:start w:val="1"/>
      <w:numFmt w:val="decimal"/>
      <w:lvlText w:val="%1."/>
      <w:lvlJc w:val="left"/>
      <w:pPr>
        <w:tabs>
          <w:tab w:val="num" w:pos="1800"/>
        </w:tabs>
        <w:ind w:left="1800" w:hanging="360"/>
      </w:pPr>
    </w:lvl>
  </w:abstractNum>
  <w:abstractNum w:abstractNumId="2">
    <w:nsid w:val="FFFFFF7D"/>
    <w:multiLevelType w:val="singleLevel"/>
    <w:tmpl w:val="3160ADB4"/>
    <w:lvl w:ilvl="0">
      <w:start w:val="1"/>
      <w:numFmt w:val="decimal"/>
      <w:lvlText w:val="%1."/>
      <w:lvlJc w:val="left"/>
      <w:pPr>
        <w:tabs>
          <w:tab w:val="num" w:pos="1440"/>
        </w:tabs>
        <w:ind w:left="1440" w:hanging="360"/>
      </w:pPr>
    </w:lvl>
  </w:abstractNum>
  <w:abstractNum w:abstractNumId="3">
    <w:nsid w:val="FFFFFF7E"/>
    <w:multiLevelType w:val="singleLevel"/>
    <w:tmpl w:val="2BD01A30"/>
    <w:lvl w:ilvl="0">
      <w:start w:val="1"/>
      <w:numFmt w:val="decimal"/>
      <w:lvlText w:val="%1."/>
      <w:lvlJc w:val="left"/>
      <w:pPr>
        <w:tabs>
          <w:tab w:val="num" w:pos="1080"/>
        </w:tabs>
        <w:ind w:left="1080" w:hanging="360"/>
      </w:pPr>
    </w:lvl>
  </w:abstractNum>
  <w:abstractNum w:abstractNumId="4">
    <w:nsid w:val="FFFFFF7F"/>
    <w:multiLevelType w:val="singleLevel"/>
    <w:tmpl w:val="6D46A45E"/>
    <w:lvl w:ilvl="0">
      <w:start w:val="1"/>
      <w:numFmt w:val="decimal"/>
      <w:lvlText w:val="%1."/>
      <w:lvlJc w:val="left"/>
      <w:pPr>
        <w:tabs>
          <w:tab w:val="num" w:pos="720"/>
        </w:tabs>
        <w:ind w:left="720" w:hanging="360"/>
      </w:pPr>
    </w:lvl>
  </w:abstractNum>
  <w:abstractNum w:abstractNumId="5">
    <w:nsid w:val="FFFFFF80"/>
    <w:multiLevelType w:val="singleLevel"/>
    <w:tmpl w:val="CAF22F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57A474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ECEA2D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5C6816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20CD87A"/>
    <w:lvl w:ilvl="0">
      <w:start w:val="1"/>
      <w:numFmt w:val="decimal"/>
      <w:lvlText w:val="%1."/>
      <w:lvlJc w:val="left"/>
      <w:pPr>
        <w:tabs>
          <w:tab w:val="num" w:pos="360"/>
        </w:tabs>
        <w:ind w:left="360" w:hanging="360"/>
      </w:pPr>
    </w:lvl>
  </w:abstractNum>
  <w:abstractNum w:abstractNumId="10">
    <w:nsid w:val="FFFFFF89"/>
    <w:multiLevelType w:val="singleLevel"/>
    <w:tmpl w:val="068A282A"/>
    <w:lvl w:ilvl="0">
      <w:start w:val="1"/>
      <w:numFmt w:val="bullet"/>
      <w:lvlText w:val=""/>
      <w:lvlJc w:val="left"/>
      <w:pPr>
        <w:tabs>
          <w:tab w:val="num" w:pos="360"/>
        </w:tabs>
        <w:ind w:left="360" w:hanging="360"/>
      </w:pPr>
      <w:rPr>
        <w:rFonts w:ascii="Symbol" w:hAnsi="Symbol" w:hint="default"/>
      </w:rPr>
    </w:lvl>
  </w:abstractNum>
  <w:abstractNum w:abstractNumId="11">
    <w:nsid w:val="06F34E2E"/>
    <w:multiLevelType w:val="multilevel"/>
    <w:tmpl w:val="119CCBA6"/>
    <w:lvl w:ilvl="0">
      <w:start w:val="1"/>
      <w:numFmt w:val="bullet"/>
      <w:lvlText w:val=""/>
      <w:lvlJc w:val="left"/>
      <w:pPr>
        <w:ind w:left="720" w:firstLine="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07AA2E34"/>
    <w:multiLevelType w:val="hybridMultilevel"/>
    <w:tmpl w:val="C642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F462C"/>
    <w:multiLevelType w:val="multilevel"/>
    <w:tmpl w:val="119CCBA6"/>
    <w:lvl w:ilvl="0">
      <w:start w:val="1"/>
      <w:numFmt w:val="bullet"/>
      <w:lvlText w:val=""/>
      <w:lvlJc w:val="left"/>
      <w:pPr>
        <w:ind w:firstLine="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71F285E"/>
    <w:multiLevelType w:val="hybridMultilevel"/>
    <w:tmpl w:val="ABE8862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970134"/>
    <w:multiLevelType w:val="hybridMultilevel"/>
    <w:tmpl w:val="FDD6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93945"/>
    <w:multiLevelType w:val="hybridMultilevel"/>
    <w:tmpl w:val="FB20C50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31FB22EF"/>
    <w:multiLevelType w:val="hybridMultilevel"/>
    <w:tmpl w:val="CA22F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F5663"/>
    <w:multiLevelType w:val="multilevel"/>
    <w:tmpl w:val="CF3A9DC0"/>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CCB7D07"/>
    <w:multiLevelType w:val="multilevel"/>
    <w:tmpl w:val="19D0CAE8"/>
    <w:lvl w:ilvl="0">
      <w:start w:val="1"/>
      <w:numFmt w:val="bullet"/>
      <w:lvlText w:val=""/>
      <w:lvlJc w:val="left"/>
      <w:pPr>
        <w:tabs>
          <w:tab w:val="num" w:pos="720"/>
        </w:tabs>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6C52EEF"/>
    <w:multiLevelType w:val="multilevel"/>
    <w:tmpl w:val="A6CEBB82"/>
    <w:lvl w:ilvl="0">
      <w:start w:val="1"/>
      <w:numFmt w:val="bullet"/>
      <w:lvlText w:val=""/>
      <w:lvlJc w:val="left"/>
      <w:pPr>
        <w:tabs>
          <w:tab w:val="num" w:pos="1440"/>
        </w:tabs>
        <w:ind w:left="72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1">
    <w:nsid w:val="478575C6"/>
    <w:multiLevelType w:val="hybridMultilevel"/>
    <w:tmpl w:val="F926D2A0"/>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B54D93"/>
    <w:multiLevelType w:val="hybridMultilevel"/>
    <w:tmpl w:val="7A84B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5431A8"/>
    <w:multiLevelType w:val="multilevel"/>
    <w:tmpl w:val="63FA0E6A"/>
    <w:lvl w:ilvl="0">
      <w:start w:val="1"/>
      <w:numFmt w:val="bullet"/>
      <w:lvlText w:val=""/>
      <w:lvlJc w:val="left"/>
      <w:pPr>
        <w:tabs>
          <w:tab w:val="num" w:pos="720"/>
        </w:tabs>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3582B44"/>
    <w:multiLevelType w:val="multilevel"/>
    <w:tmpl w:val="19D0CAE8"/>
    <w:lvl w:ilvl="0">
      <w:start w:val="1"/>
      <w:numFmt w:val="bullet"/>
      <w:lvlText w:val=""/>
      <w:lvlJc w:val="left"/>
      <w:pPr>
        <w:tabs>
          <w:tab w:val="num" w:pos="720"/>
        </w:tabs>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8AE6385"/>
    <w:multiLevelType w:val="hybridMultilevel"/>
    <w:tmpl w:val="A7AE2752"/>
    <w:lvl w:ilvl="0" w:tplc="FADEDFA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7E1486"/>
    <w:multiLevelType w:val="hybridMultilevel"/>
    <w:tmpl w:val="FD52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140A48"/>
    <w:multiLevelType w:val="multilevel"/>
    <w:tmpl w:val="AB4CF7FE"/>
    <w:lvl w:ilvl="0">
      <w:start w:val="1"/>
      <w:numFmt w:val="bullet"/>
      <w:lvlText w:val=""/>
      <w:lvlJc w:val="left"/>
      <w:pPr>
        <w:ind w:left="216" w:firstLine="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715D42FB"/>
    <w:multiLevelType w:val="hybridMultilevel"/>
    <w:tmpl w:val="BBE24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7DC72CB"/>
    <w:multiLevelType w:val="multilevel"/>
    <w:tmpl w:val="63FA0E6A"/>
    <w:lvl w:ilvl="0">
      <w:start w:val="1"/>
      <w:numFmt w:val="bullet"/>
      <w:lvlText w:val=""/>
      <w:lvlJc w:val="left"/>
      <w:pPr>
        <w:tabs>
          <w:tab w:val="num" w:pos="720"/>
        </w:tabs>
        <w:ind w:left="72" w:hanging="72"/>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BC44F73"/>
    <w:multiLevelType w:val="hybridMultilevel"/>
    <w:tmpl w:val="BC325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C4F4418"/>
    <w:multiLevelType w:val="hybridMultilevel"/>
    <w:tmpl w:val="FB84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26"/>
  </w:num>
  <w:num w:numId="4">
    <w:abstractNumId w:val="17"/>
  </w:num>
  <w:num w:numId="5">
    <w:abstractNumId w:val="13"/>
  </w:num>
  <w:num w:numId="6">
    <w:abstractNumId w:val="11"/>
  </w:num>
  <w:num w:numId="7">
    <w:abstractNumId w:val="27"/>
  </w:num>
  <w:num w:numId="8">
    <w:abstractNumId w:val="18"/>
  </w:num>
  <w:num w:numId="9">
    <w:abstractNumId w:val="14"/>
  </w:num>
  <w:num w:numId="10">
    <w:abstractNumId w:val="31"/>
  </w:num>
  <w:num w:numId="11">
    <w:abstractNumId w:val="21"/>
  </w:num>
  <w:num w:numId="12">
    <w:abstractNumId w:val="24"/>
  </w:num>
  <w:num w:numId="13">
    <w:abstractNumId w:val="19"/>
  </w:num>
  <w:num w:numId="14">
    <w:abstractNumId w:val="29"/>
  </w:num>
  <w:num w:numId="15">
    <w:abstractNumId w:val="20"/>
  </w:num>
  <w:num w:numId="16">
    <w:abstractNumId w:val="23"/>
  </w:num>
  <w:num w:numId="17">
    <w:abstractNumId w:val="28"/>
  </w:num>
  <w:num w:numId="18">
    <w:abstractNumId w:val="30"/>
  </w:num>
  <w:num w:numId="19">
    <w:abstractNumId w:val="25"/>
  </w:num>
  <w:num w:numId="20">
    <w:abstractNumId w:val="15"/>
  </w:num>
  <w:num w:numId="21">
    <w:abstractNumId w:val="0"/>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DBD"/>
    <w:rsid w:val="000372B6"/>
    <w:rsid w:val="00060D3D"/>
    <w:rsid w:val="000631B4"/>
    <w:rsid w:val="00086904"/>
    <w:rsid w:val="000E2801"/>
    <w:rsid w:val="00100CEE"/>
    <w:rsid w:val="001047D1"/>
    <w:rsid w:val="00136038"/>
    <w:rsid w:val="001409AC"/>
    <w:rsid w:val="00151801"/>
    <w:rsid w:val="00180C21"/>
    <w:rsid w:val="00186A48"/>
    <w:rsid w:val="001D5005"/>
    <w:rsid w:val="00205F91"/>
    <w:rsid w:val="002361BF"/>
    <w:rsid w:val="002C0326"/>
    <w:rsid w:val="002D28CE"/>
    <w:rsid w:val="002D6DBD"/>
    <w:rsid w:val="002F393D"/>
    <w:rsid w:val="00327669"/>
    <w:rsid w:val="00373FC5"/>
    <w:rsid w:val="00391AA5"/>
    <w:rsid w:val="003B477F"/>
    <w:rsid w:val="00401B17"/>
    <w:rsid w:val="00412C25"/>
    <w:rsid w:val="004662EB"/>
    <w:rsid w:val="00473641"/>
    <w:rsid w:val="004A0F98"/>
    <w:rsid w:val="00512D02"/>
    <w:rsid w:val="005414C6"/>
    <w:rsid w:val="00544DFF"/>
    <w:rsid w:val="00582325"/>
    <w:rsid w:val="005A2AD3"/>
    <w:rsid w:val="005D710F"/>
    <w:rsid w:val="005F5FFA"/>
    <w:rsid w:val="00603A48"/>
    <w:rsid w:val="0062475D"/>
    <w:rsid w:val="0063415F"/>
    <w:rsid w:val="00674704"/>
    <w:rsid w:val="006B2FAB"/>
    <w:rsid w:val="006D1878"/>
    <w:rsid w:val="006D212A"/>
    <w:rsid w:val="006D4FB0"/>
    <w:rsid w:val="006D75DC"/>
    <w:rsid w:val="006E3B2A"/>
    <w:rsid w:val="00720953"/>
    <w:rsid w:val="0076105E"/>
    <w:rsid w:val="00766C64"/>
    <w:rsid w:val="00772AB0"/>
    <w:rsid w:val="007A368B"/>
    <w:rsid w:val="007B1F11"/>
    <w:rsid w:val="007F54D7"/>
    <w:rsid w:val="00801388"/>
    <w:rsid w:val="00811AEF"/>
    <w:rsid w:val="0083208D"/>
    <w:rsid w:val="00833D53"/>
    <w:rsid w:val="008834E3"/>
    <w:rsid w:val="00890F20"/>
    <w:rsid w:val="008A132B"/>
    <w:rsid w:val="008D7170"/>
    <w:rsid w:val="008E349B"/>
    <w:rsid w:val="008E36B7"/>
    <w:rsid w:val="00905829"/>
    <w:rsid w:val="009A4495"/>
    <w:rsid w:val="009C07CC"/>
    <w:rsid w:val="009D0B6C"/>
    <w:rsid w:val="009E405C"/>
    <w:rsid w:val="009F3DC7"/>
    <w:rsid w:val="00A05158"/>
    <w:rsid w:val="00A26FEA"/>
    <w:rsid w:val="00A4085D"/>
    <w:rsid w:val="00A50B1F"/>
    <w:rsid w:val="00A55666"/>
    <w:rsid w:val="00A9016D"/>
    <w:rsid w:val="00A9730E"/>
    <w:rsid w:val="00AB768A"/>
    <w:rsid w:val="00AC044D"/>
    <w:rsid w:val="00AD7E49"/>
    <w:rsid w:val="00AE328F"/>
    <w:rsid w:val="00B0761D"/>
    <w:rsid w:val="00B41EC0"/>
    <w:rsid w:val="00BD407C"/>
    <w:rsid w:val="00BD783F"/>
    <w:rsid w:val="00C07AD6"/>
    <w:rsid w:val="00C23785"/>
    <w:rsid w:val="00C36A3F"/>
    <w:rsid w:val="00C473DA"/>
    <w:rsid w:val="00C50429"/>
    <w:rsid w:val="00C761AC"/>
    <w:rsid w:val="00CA7693"/>
    <w:rsid w:val="00CD5DA5"/>
    <w:rsid w:val="00CD6D8F"/>
    <w:rsid w:val="00CD6EDD"/>
    <w:rsid w:val="00D02AE6"/>
    <w:rsid w:val="00D37AD2"/>
    <w:rsid w:val="00D67822"/>
    <w:rsid w:val="00DE5543"/>
    <w:rsid w:val="00DF0117"/>
    <w:rsid w:val="00F90DC9"/>
    <w:rsid w:val="00F91AA1"/>
    <w:rsid w:val="00FA4D6C"/>
    <w:rsid w:val="00FC2DA2"/>
    <w:rsid w:val="00FF4018"/>
    <w:rsid w:val="00FF5D7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libri" w:hAnsi="Calibri"/>
      <w:b/>
      <w:bCs/>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b/>
      <w:kern w:val="32"/>
      <w:sz w:val="32"/>
    </w:rPr>
  </w:style>
  <w:style w:type="paragraph" w:styleId="Header">
    <w:name w:val="header"/>
    <w:basedOn w:val="Normal"/>
    <w:link w:val="HeaderChar"/>
    <w:uiPriority w:val="99"/>
    <w:pPr>
      <w:tabs>
        <w:tab w:val="center" w:pos="4680"/>
        <w:tab w:val="right" w:pos="9360"/>
      </w:tabs>
    </w:pPr>
    <w:rPr>
      <w:szCs w:val="20"/>
    </w:r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semiHidden/>
    <w:pPr>
      <w:tabs>
        <w:tab w:val="center" w:pos="4680"/>
        <w:tab w:val="right" w:pos="9360"/>
      </w:tabs>
    </w:pPr>
    <w:rPr>
      <w:szCs w:val="20"/>
    </w:rPr>
  </w:style>
  <w:style w:type="character" w:customStyle="1" w:styleId="FooterChar">
    <w:name w:val="Footer Char"/>
    <w:basedOn w:val="DefaultParagraphFont"/>
    <w:link w:val="Footer"/>
    <w:uiPriority w:val="99"/>
    <w:rPr>
      <w:sz w:val="24"/>
    </w:rPr>
  </w:style>
  <w:style w:type="paragraph" w:styleId="BalloonText">
    <w:name w:val="Balloon Text"/>
    <w:basedOn w:val="Normal"/>
    <w:link w:val="BalloonTextChar"/>
    <w:uiPriority w:val="99"/>
    <w:semiHidden/>
    <w:rPr>
      <w:rFonts w:ascii="Tahoma" w:hAnsi="Tahoma"/>
      <w:sz w:val="16"/>
      <w:szCs w:val="20"/>
    </w:rPr>
  </w:style>
  <w:style w:type="character" w:customStyle="1" w:styleId="BalloonTextChar">
    <w:name w:val="Balloon Text Char"/>
    <w:basedOn w:val="DefaultParagraphFont"/>
    <w:link w:val="BalloonText"/>
    <w:uiPriority w:val="99"/>
    <w:semiHidden/>
    <w:rPr>
      <w:rFonts w:ascii="Tahoma" w:hAnsi="Tahoma"/>
      <w:sz w:val="16"/>
    </w:rPr>
  </w:style>
  <w:style w:type="paragraph" w:styleId="Caption">
    <w:name w:val="caption"/>
    <w:basedOn w:val="Normal"/>
    <w:next w:val="Normal"/>
    <w:uiPriority w:val="99"/>
    <w:qFormat/>
    <w:rPr>
      <w:b/>
      <w:bCs/>
      <w:sz w:val="20"/>
      <w:szCs w:val="20"/>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60"/>
      <w:outlineLvl w:val="0"/>
    </w:pPr>
    <w:rPr>
      <w:rFonts w:ascii="Calibri" w:hAnsi="Calibri"/>
      <w:b/>
      <w:bCs/>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b/>
      <w:kern w:val="32"/>
      <w:sz w:val="32"/>
    </w:rPr>
  </w:style>
  <w:style w:type="paragraph" w:styleId="Header">
    <w:name w:val="header"/>
    <w:basedOn w:val="Normal"/>
    <w:link w:val="HeaderChar"/>
    <w:uiPriority w:val="99"/>
    <w:pPr>
      <w:tabs>
        <w:tab w:val="center" w:pos="4680"/>
        <w:tab w:val="right" w:pos="9360"/>
      </w:tabs>
    </w:pPr>
    <w:rPr>
      <w:szCs w:val="20"/>
    </w:r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semiHidden/>
    <w:pPr>
      <w:tabs>
        <w:tab w:val="center" w:pos="4680"/>
        <w:tab w:val="right" w:pos="9360"/>
      </w:tabs>
    </w:pPr>
    <w:rPr>
      <w:szCs w:val="20"/>
    </w:rPr>
  </w:style>
  <w:style w:type="character" w:customStyle="1" w:styleId="FooterChar">
    <w:name w:val="Footer Char"/>
    <w:basedOn w:val="DefaultParagraphFont"/>
    <w:link w:val="Footer"/>
    <w:uiPriority w:val="99"/>
    <w:rPr>
      <w:sz w:val="24"/>
    </w:rPr>
  </w:style>
  <w:style w:type="paragraph" w:styleId="BalloonText">
    <w:name w:val="Balloon Text"/>
    <w:basedOn w:val="Normal"/>
    <w:link w:val="BalloonTextChar"/>
    <w:uiPriority w:val="99"/>
    <w:semiHidden/>
    <w:rPr>
      <w:rFonts w:ascii="Tahoma" w:hAnsi="Tahoma"/>
      <w:sz w:val="16"/>
      <w:szCs w:val="20"/>
    </w:rPr>
  </w:style>
  <w:style w:type="character" w:customStyle="1" w:styleId="BalloonTextChar">
    <w:name w:val="Balloon Text Char"/>
    <w:basedOn w:val="DefaultParagraphFont"/>
    <w:link w:val="BalloonText"/>
    <w:uiPriority w:val="99"/>
    <w:semiHidden/>
    <w:rPr>
      <w:rFonts w:ascii="Tahoma" w:hAnsi="Tahoma"/>
      <w:sz w:val="16"/>
    </w:rPr>
  </w:style>
  <w:style w:type="paragraph" w:styleId="Caption">
    <w:name w:val="caption"/>
    <w:basedOn w:val="Normal"/>
    <w:next w:val="Normal"/>
    <w:uiPriority w:val="99"/>
    <w:qFormat/>
    <w:rPr>
      <w:b/>
      <w:bCs/>
      <w:sz w:val="20"/>
      <w:szCs w:val="20"/>
    </w:rPr>
  </w:style>
  <w:style w:type="paragraph" w:styleId="ListParagraph">
    <w:name w:val="List Paragraph"/>
    <w:basedOn w:val="Normal"/>
    <w:uiPriority w:val="99"/>
    <w:qFormat/>
    <w:pPr>
      <w:ind w:left="720"/>
      <w:contextualSpacing/>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olbear.com/announcements/asdf" TargetMode="External"/><Relationship Id="rId17" Type="http://schemas.openxmlformats.org/officeDocument/2006/relationships/hyperlink" Target="http://pebblepartnership.com/content/federal-state-and-local-permits" TargetMode="External"/><Relationship Id="rId2" Type="http://schemas.openxmlformats.org/officeDocument/2006/relationships/styles" Target="styles.xml"/><Relationship Id="rId16" Type="http://schemas.openxmlformats.org/officeDocument/2006/relationships/hyperlink" Target="http://energy.gov/sites/prod/files/edg/news/documents/criticalmaterialsstrategy.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a.gov/advocacy/853/2016" TargetMode="External"/><Relationship Id="rId5" Type="http://schemas.openxmlformats.org/officeDocument/2006/relationships/webSettings" Target="webSettings.xml"/><Relationship Id="rId15" Type="http://schemas.openxmlformats.org/officeDocument/2006/relationships/hyperlink" Target="http://pebblepartnership.com/content/federal-state-and-local-permits" TargetMode="External"/><Relationship Id="rId10" Type="http://schemas.openxmlformats.org/officeDocument/2006/relationships/hyperlink" Target="http://www.dolbear.com/announcements/as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a.gov/advocacy/853/2016" TargetMode="External"/><Relationship Id="rId14" Type="http://schemas.openxmlformats.org/officeDocument/2006/relationships/hyperlink" Target="http://energy.gov/sites/prod/files/edg/news/documents/criticalmaterials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Marston Consulting</dc:creator>
  <cp:lastModifiedBy>gravning</cp:lastModifiedBy>
  <cp:revision>2</cp:revision>
  <dcterms:created xsi:type="dcterms:W3CDTF">2011-11-21T22:08:00Z</dcterms:created>
  <dcterms:modified xsi:type="dcterms:W3CDTF">2011-11-21T22:08:00Z</dcterms:modified>
</cp:coreProperties>
</file>